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A78F" w14:textId="505C5F23" w:rsidR="00097B27" w:rsidRPr="00FF1661" w:rsidRDefault="00FF1661" w:rsidP="00FF1661">
      <w:pPr>
        <w:jc w:val="center"/>
        <w:rPr>
          <w:rFonts w:ascii="Garamond" w:hAnsi="Garamond"/>
          <w:b/>
          <w:bCs/>
          <w:sz w:val="36"/>
          <w:szCs w:val="36"/>
        </w:rPr>
      </w:pPr>
      <w:r w:rsidRPr="451F5626">
        <w:rPr>
          <w:rFonts w:ascii="Garamond" w:hAnsi="Garamond"/>
          <w:b/>
          <w:bCs/>
          <w:sz w:val="36"/>
          <w:szCs w:val="36"/>
        </w:rPr>
        <w:t>Culturally Competent Teaching</w:t>
      </w:r>
      <w:r w:rsidR="00F36AD9">
        <w:rPr>
          <w:rFonts w:ascii="Garamond" w:hAnsi="Garamond"/>
          <w:b/>
          <w:bCs/>
          <w:sz w:val="36"/>
          <w:szCs w:val="36"/>
        </w:rPr>
        <w:t xml:space="preserve"> Techniques</w:t>
      </w:r>
    </w:p>
    <w:p w14:paraId="16D1BA3E" w14:textId="77777777" w:rsidR="00FF1661" w:rsidRDefault="00FF1661" w:rsidP="00097B27">
      <w:pPr>
        <w:rPr>
          <w:rFonts w:ascii="Garamond" w:hAnsi="Garamond"/>
          <w:sz w:val="28"/>
          <w:szCs w:val="28"/>
        </w:rPr>
      </w:pPr>
    </w:p>
    <w:p w14:paraId="4295EE5B" w14:textId="77777777" w:rsidR="00EC4E08" w:rsidRDefault="6D40C11A" w:rsidP="00097B27">
      <w:pPr>
        <w:rPr>
          <w:rFonts w:ascii="Garamond" w:hAnsi="Garamond"/>
          <w:sz w:val="28"/>
          <w:szCs w:val="28"/>
        </w:rPr>
      </w:pPr>
      <w:r w:rsidRPr="6D40C11A">
        <w:rPr>
          <w:rFonts w:ascii="Garamond" w:hAnsi="Garamond"/>
          <w:sz w:val="28"/>
          <w:szCs w:val="28"/>
        </w:rPr>
        <w:t xml:space="preserve">When teaching a diverse group of students, it is important to consider their identities, backgrounds, and cultures. Culture includes shared beliefs, customs, rituals, and traditions. Getting to know the identities and backgrounds of your students can help you to more effectively connect with your students, understand what is important to them, and support them in achieving their transition goals. </w:t>
      </w:r>
    </w:p>
    <w:p w14:paraId="6A7F2BED" w14:textId="77777777" w:rsidR="00EC4E08" w:rsidRDefault="00EC4E08" w:rsidP="00097B27">
      <w:pPr>
        <w:rPr>
          <w:rFonts w:ascii="Garamond" w:hAnsi="Garamond"/>
          <w:sz w:val="28"/>
          <w:szCs w:val="28"/>
        </w:rPr>
      </w:pPr>
    </w:p>
    <w:p w14:paraId="447836DB" w14:textId="0CE5E497" w:rsidR="00097B27" w:rsidRDefault="6D40C11A" w:rsidP="00097B27">
      <w:pPr>
        <w:rPr>
          <w:rFonts w:ascii="Garamond" w:hAnsi="Garamond"/>
          <w:sz w:val="28"/>
          <w:szCs w:val="28"/>
        </w:rPr>
      </w:pPr>
      <w:r w:rsidRPr="6D40C11A">
        <w:rPr>
          <w:rFonts w:ascii="Garamond" w:hAnsi="Garamond"/>
          <w:sz w:val="28"/>
          <w:szCs w:val="28"/>
        </w:rPr>
        <w:t>For example, if a student’s religious identity is something that is important to them, that student may be interested in attending a college which has a student group of that particular religion, or finding employment at an organization related to that religion. Culturally responsive practices are important to implement in classrooms and all forms of communication with your students in order to facilitate inclusion. This can be done in a variety of ways:</w:t>
      </w:r>
    </w:p>
    <w:p w14:paraId="4F09846E" w14:textId="3B2A5AE2" w:rsidR="00FF1661" w:rsidRDefault="00FF1661" w:rsidP="00097B27">
      <w:pPr>
        <w:rPr>
          <w:rFonts w:ascii="Garamond" w:hAnsi="Garamond"/>
          <w:sz w:val="28"/>
          <w:szCs w:val="28"/>
        </w:rPr>
      </w:pPr>
    </w:p>
    <w:p w14:paraId="4A2E26E7" w14:textId="4508FDD7" w:rsidR="00FF1661" w:rsidRPr="00F36AD9" w:rsidRDefault="00FF1661" w:rsidP="00FF1661">
      <w:pPr>
        <w:pStyle w:val="ListParagraph"/>
        <w:numPr>
          <w:ilvl w:val="0"/>
          <w:numId w:val="1"/>
        </w:numPr>
        <w:rPr>
          <w:rFonts w:eastAsiaTheme="minorEastAsia"/>
          <w:sz w:val="28"/>
          <w:szCs w:val="28"/>
        </w:rPr>
      </w:pPr>
      <w:r w:rsidRPr="451F5626">
        <w:rPr>
          <w:rFonts w:ascii="Garamond" w:hAnsi="Garamond"/>
          <w:sz w:val="28"/>
          <w:szCs w:val="28"/>
        </w:rPr>
        <w:t>Research the school system you work in to see what (if any) diversity, equity, and inclusion practices they already have in place.</w:t>
      </w:r>
    </w:p>
    <w:p w14:paraId="04FF0570" w14:textId="641B1A72" w:rsidR="00F36AD9" w:rsidRDefault="6D40C11A" w:rsidP="6D40C11A">
      <w:pPr>
        <w:pStyle w:val="ListParagraph"/>
        <w:numPr>
          <w:ilvl w:val="1"/>
          <w:numId w:val="1"/>
        </w:numPr>
        <w:rPr>
          <w:rFonts w:eastAsiaTheme="minorEastAsia"/>
          <w:sz w:val="28"/>
          <w:szCs w:val="28"/>
        </w:rPr>
      </w:pPr>
      <w:r w:rsidRPr="6D40C11A">
        <w:rPr>
          <w:rFonts w:ascii="Garamond" w:hAnsi="Garamond"/>
          <w:sz w:val="28"/>
          <w:szCs w:val="28"/>
        </w:rPr>
        <w:t xml:space="preserve">Ex: Metro Nashville Public Schools - </w:t>
      </w:r>
      <w:hyperlink r:id="rId5">
        <w:r w:rsidRPr="6D40C11A">
          <w:rPr>
            <w:rStyle w:val="Hyperlink"/>
            <w:rFonts w:ascii="Garamond" w:hAnsi="Garamond"/>
            <w:sz w:val="28"/>
            <w:szCs w:val="28"/>
          </w:rPr>
          <w:t>Diversity Management Plan</w:t>
        </w:r>
      </w:hyperlink>
    </w:p>
    <w:p w14:paraId="679742D5" w14:textId="77777777" w:rsidR="00FF1661" w:rsidRDefault="00FF1661" w:rsidP="00FF1661">
      <w:pPr>
        <w:rPr>
          <w:rFonts w:ascii="Garamond" w:hAnsi="Garamond"/>
          <w:sz w:val="28"/>
          <w:szCs w:val="28"/>
        </w:rPr>
      </w:pPr>
    </w:p>
    <w:p w14:paraId="30EBDA31" w14:textId="77777777" w:rsidR="00FF1661" w:rsidRDefault="00FF1661" w:rsidP="00FF1661">
      <w:pPr>
        <w:pStyle w:val="ListParagraph"/>
        <w:numPr>
          <w:ilvl w:val="0"/>
          <w:numId w:val="1"/>
        </w:numPr>
        <w:rPr>
          <w:rFonts w:eastAsiaTheme="minorEastAsia"/>
          <w:sz w:val="28"/>
          <w:szCs w:val="28"/>
        </w:rPr>
      </w:pPr>
      <w:r w:rsidRPr="451F5626">
        <w:rPr>
          <w:rFonts w:ascii="Garamond" w:hAnsi="Garamond"/>
          <w:sz w:val="28"/>
          <w:szCs w:val="28"/>
        </w:rPr>
        <w:t>Competencies for Culturally Responsive Teaching</w:t>
      </w:r>
    </w:p>
    <w:p w14:paraId="631E6A75" w14:textId="70DF9937" w:rsidR="00FF1661" w:rsidRDefault="6D40C11A" w:rsidP="6D40C11A">
      <w:pPr>
        <w:pStyle w:val="ListParagraph"/>
        <w:numPr>
          <w:ilvl w:val="1"/>
          <w:numId w:val="1"/>
        </w:numPr>
        <w:rPr>
          <w:sz w:val="28"/>
          <w:szCs w:val="28"/>
        </w:rPr>
      </w:pPr>
      <w:r w:rsidRPr="6D40C11A">
        <w:rPr>
          <w:rFonts w:ascii="Garamond" w:hAnsi="Garamond"/>
          <w:sz w:val="28"/>
          <w:szCs w:val="28"/>
        </w:rPr>
        <w:t xml:space="preserve">Reflect on your perspective </w:t>
      </w:r>
      <w:r w:rsidR="00EC4E08">
        <w:rPr>
          <w:rFonts w:ascii="Garamond" w:hAnsi="Garamond"/>
          <w:sz w:val="28"/>
          <w:szCs w:val="28"/>
        </w:rPr>
        <w:t>and think how it may be different from students</w:t>
      </w:r>
    </w:p>
    <w:p w14:paraId="20E6F07C" w14:textId="213F805C" w:rsidR="00FF1661" w:rsidRDefault="6D40C11A" w:rsidP="00FF1661">
      <w:pPr>
        <w:pStyle w:val="ListParagraph"/>
        <w:numPr>
          <w:ilvl w:val="1"/>
          <w:numId w:val="1"/>
        </w:numPr>
        <w:rPr>
          <w:sz w:val="28"/>
          <w:szCs w:val="28"/>
        </w:rPr>
      </w:pPr>
      <w:r w:rsidRPr="6D40C11A">
        <w:rPr>
          <w:rFonts w:ascii="Garamond" w:hAnsi="Garamond"/>
          <w:sz w:val="28"/>
          <w:szCs w:val="28"/>
        </w:rPr>
        <w:t>Recognize ways the system may be easier/harder for students</w:t>
      </w:r>
    </w:p>
    <w:p w14:paraId="7BB17BD4" w14:textId="55183325" w:rsidR="6D40C11A" w:rsidRDefault="6D40C11A" w:rsidP="6D40C11A">
      <w:pPr>
        <w:pStyle w:val="ListParagraph"/>
        <w:numPr>
          <w:ilvl w:val="1"/>
          <w:numId w:val="1"/>
        </w:numPr>
        <w:spacing w:line="259" w:lineRule="auto"/>
        <w:rPr>
          <w:rFonts w:eastAsiaTheme="minorEastAsia"/>
          <w:sz w:val="28"/>
          <w:szCs w:val="28"/>
        </w:rPr>
      </w:pPr>
      <w:r w:rsidRPr="6D40C11A">
        <w:rPr>
          <w:rFonts w:ascii="Garamond" w:hAnsi="Garamond"/>
          <w:sz w:val="28"/>
          <w:szCs w:val="28"/>
        </w:rPr>
        <w:t>Provide links between a student’s background and new academic concepts</w:t>
      </w:r>
    </w:p>
    <w:p w14:paraId="7FE9D040" w14:textId="77777777" w:rsidR="00FF1661" w:rsidRDefault="6D40C11A" w:rsidP="00FF1661">
      <w:pPr>
        <w:pStyle w:val="ListParagraph"/>
        <w:numPr>
          <w:ilvl w:val="1"/>
          <w:numId w:val="1"/>
        </w:numPr>
        <w:rPr>
          <w:sz w:val="28"/>
          <w:szCs w:val="28"/>
        </w:rPr>
      </w:pPr>
      <w:r w:rsidRPr="6D40C11A">
        <w:rPr>
          <w:rFonts w:ascii="Garamond" w:hAnsi="Garamond"/>
          <w:sz w:val="28"/>
          <w:szCs w:val="28"/>
        </w:rPr>
        <w:t>Bring real-world issues into the classroom</w:t>
      </w:r>
    </w:p>
    <w:p w14:paraId="356546D0" w14:textId="0159EEA9" w:rsidR="6D40C11A" w:rsidRDefault="6D40C11A" w:rsidP="6D40C11A">
      <w:pPr>
        <w:pStyle w:val="ListParagraph"/>
        <w:numPr>
          <w:ilvl w:val="1"/>
          <w:numId w:val="1"/>
        </w:numPr>
        <w:spacing w:line="259" w:lineRule="auto"/>
        <w:rPr>
          <w:rFonts w:eastAsiaTheme="minorEastAsia"/>
          <w:sz w:val="28"/>
          <w:szCs w:val="28"/>
        </w:rPr>
      </w:pPr>
      <w:r w:rsidRPr="6D40C11A">
        <w:rPr>
          <w:rFonts w:ascii="Garamond" w:hAnsi="Garamond"/>
          <w:sz w:val="28"/>
          <w:szCs w:val="28"/>
        </w:rPr>
        <w:t>Recognize that all students are capable of achieving high levels of success</w:t>
      </w:r>
    </w:p>
    <w:p w14:paraId="0B7C6C79" w14:textId="77777777" w:rsidR="00FF1661" w:rsidRDefault="6D40C11A" w:rsidP="00FF1661">
      <w:pPr>
        <w:pStyle w:val="ListParagraph"/>
        <w:numPr>
          <w:ilvl w:val="1"/>
          <w:numId w:val="1"/>
        </w:numPr>
        <w:rPr>
          <w:sz w:val="28"/>
          <w:szCs w:val="28"/>
        </w:rPr>
      </w:pPr>
      <w:r w:rsidRPr="6D40C11A">
        <w:rPr>
          <w:rFonts w:ascii="Garamond" w:hAnsi="Garamond"/>
          <w:sz w:val="28"/>
          <w:szCs w:val="28"/>
        </w:rPr>
        <w:t>Promote respect for students’ differences</w:t>
      </w:r>
    </w:p>
    <w:p w14:paraId="3F5A110F" w14:textId="77777777" w:rsidR="00FF1661" w:rsidRDefault="6D40C11A" w:rsidP="00FF1661">
      <w:pPr>
        <w:pStyle w:val="ListParagraph"/>
        <w:numPr>
          <w:ilvl w:val="1"/>
          <w:numId w:val="1"/>
        </w:numPr>
        <w:rPr>
          <w:sz w:val="28"/>
          <w:szCs w:val="28"/>
        </w:rPr>
      </w:pPr>
      <w:r w:rsidRPr="6D40C11A">
        <w:rPr>
          <w:rFonts w:ascii="Garamond" w:hAnsi="Garamond"/>
          <w:sz w:val="28"/>
          <w:szCs w:val="28"/>
        </w:rPr>
        <w:t>Collaborate with families and the community</w:t>
      </w:r>
    </w:p>
    <w:p w14:paraId="7D4D41A4" w14:textId="77777777" w:rsidR="00FF1661" w:rsidRDefault="6D40C11A" w:rsidP="00FF1661">
      <w:pPr>
        <w:pStyle w:val="ListParagraph"/>
        <w:numPr>
          <w:ilvl w:val="1"/>
          <w:numId w:val="1"/>
        </w:numPr>
        <w:rPr>
          <w:sz w:val="28"/>
          <w:szCs w:val="28"/>
        </w:rPr>
      </w:pPr>
      <w:r w:rsidRPr="6D40C11A">
        <w:rPr>
          <w:rFonts w:ascii="Garamond" w:hAnsi="Garamond"/>
          <w:sz w:val="28"/>
          <w:szCs w:val="28"/>
        </w:rPr>
        <w:t>Communicate in culturally responsive ways</w:t>
      </w:r>
    </w:p>
    <w:p w14:paraId="17DC1E93" w14:textId="77777777" w:rsidR="00FF1661" w:rsidRDefault="00FF1661" w:rsidP="00FF1661">
      <w:pPr>
        <w:rPr>
          <w:rFonts w:ascii="Garamond" w:hAnsi="Garamond"/>
          <w:sz w:val="28"/>
          <w:szCs w:val="28"/>
        </w:rPr>
      </w:pPr>
    </w:p>
    <w:p w14:paraId="62ED71A8" w14:textId="6F8CF063" w:rsidR="00FF1661" w:rsidRPr="00FF1661" w:rsidRDefault="00FF1661" w:rsidP="00FF1661">
      <w:pPr>
        <w:pStyle w:val="ListParagraph"/>
        <w:numPr>
          <w:ilvl w:val="0"/>
          <w:numId w:val="1"/>
        </w:numPr>
        <w:rPr>
          <w:rFonts w:ascii="Garamond" w:hAnsi="Garamond"/>
          <w:sz w:val="28"/>
          <w:szCs w:val="28"/>
        </w:rPr>
      </w:pPr>
      <w:r w:rsidRPr="00FF1661">
        <w:rPr>
          <w:rFonts w:ascii="Garamond" w:hAnsi="Garamond"/>
          <w:sz w:val="28"/>
          <w:szCs w:val="28"/>
        </w:rPr>
        <w:t>Cultivating a Culturally Responsive Classroom</w:t>
      </w:r>
    </w:p>
    <w:p w14:paraId="51C486A6" w14:textId="7B6E703C" w:rsidR="00FF1661" w:rsidRDefault="00FF1661" w:rsidP="00FF1661">
      <w:pPr>
        <w:rPr>
          <w:rFonts w:ascii="Garamond" w:hAnsi="Garamond"/>
          <w:sz w:val="28"/>
          <w:szCs w:val="28"/>
        </w:rPr>
      </w:pPr>
    </w:p>
    <w:tbl>
      <w:tblPr>
        <w:tblStyle w:val="TableGrid"/>
        <w:tblW w:w="0" w:type="auto"/>
        <w:tblLayout w:type="fixed"/>
        <w:tblLook w:val="06A0" w:firstRow="1" w:lastRow="0" w:firstColumn="1" w:lastColumn="0" w:noHBand="1" w:noVBand="1"/>
      </w:tblPr>
      <w:tblGrid>
        <w:gridCol w:w="4680"/>
        <w:gridCol w:w="4680"/>
      </w:tblGrid>
      <w:tr w:rsidR="00FF1661" w14:paraId="450FC591" w14:textId="77777777" w:rsidTr="00496AC2">
        <w:tc>
          <w:tcPr>
            <w:tcW w:w="4680" w:type="dxa"/>
            <w:shd w:val="clear" w:color="auto" w:fill="D9E2F3" w:themeFill="accent1" w:themeFillTint="33"/>
            <w:vAlign w:val="center"/>
          </w:tcPr>
          <w:p w14:paraId="6773387F" w14:textId="77777777" w:rsidR="00FF1661" w:rsidRDefault="00FF1661" w:rsidP="00496AC2">
            <w:pPr>
              <w:jc w:val="center"/>
              <w:rPr>
                <w:rFonts w:ascii="Garamond" w:hAnsi="Garamond"/>
                <w:sz w:val="28"/>
                <w:szCs w:val="28"/>
              </w:rPr>
            </w:pPr>
            <w:r w:rsidRPr="451F5626">
              <w:rPr>
                <w:rFonts w:ascii="Garamond" w:hAnsi="Garamond"/>
                <w:b/>
                <w:bCs/>
                <w:sz w:val="28"/>
                <w:szCs w:val="28"/>
              </w:rPr>
              <w:t>Do</w:t>
            </w:r>
          </w:p>
        </w:tc>
        <w:tc>
          <w:tcPr>
            <w:tcW w:w="4680" w:type="dxa"/>
            <w:shd w:val="clear" w:color="auto" w:fill="D9E2F3" w:themeFill="accent1" w:themeFillTint="33"/>
            <w:vAlign w:val="center"/>
          </w:tcPr>
          <w:p w14:paraId="4A4B47D6" w14:textId="77777777" w:rsidR="00FF1661" w:rsidRDefault="00FF1661" w:rsidP="00496AC2">
            <w:pPr>
              <w:jc w:val="center"/>
              <w:rPr>
                <w:rFonts w:ascii="Garamond" w:hAnsi="Garamond"/>
                <w:sz w:val="28"/>
                <w:szCs w:val="28"/>
              </w:rPr>
            </w:pPr>
            <w:r w:rsidRPr="451F5626">
              <w:rPr>
                <w:rFonts w:ascii="Garamond" w:hAnsi="Garamond"/>
                <w:b/>
                <w:bCs/>
                <w:sz w:val="28"/>
                <w:szCs w:val="28"/>
              </w:rPr>
              <w:t>Don’t</w:t>
            </w:r>
          </w:p>
        </w:tc>
      </w:tr>
      <w:tr w:rsidR="00FF1661" w14:paraId="028DDD11" w14:textId="77777777" w:rsidTr="00496AC2">
        <w:tc>
          <w:tcPr>
            <w:tcW w:w="4680" w:type="dxa"/>
          </w:tcPr>
          <w:p w14:paraId="091B29F0" w14:textId="77777777" w:rsidR="00FF1661" w:rsidRDefault="00FF1661" w:rsidP="00496AC2">
            <w:pPr>
              <w:rPr>
                <w:rFonts w:ascii="Garamond" w:hAnsi="Garamond"/>
                <w:b/>
                <w:bCs/>
                <w:sz w:val="28"/>
                <w:szCs w:val="28"/>
              </w:rPr>
            </w:pPr>
            <w:r w:rsidRPr="451F5626">
              <w:rPr>
                <w:rFonts w:ascii="Garamond" w:hAnsi="Garamond"/>
                <w:b/>
                <w:bCs/>
                <w:sz w:val="28"/>
                <w:szCs w:val="28"/>
              </w:rPr>
              <w:t>Do</w:t>
            </w:r>
            <w:r w:rsidRPr="451F5626">
              <w:rPr>
                <w:rFonts w:ascii="Garamond" w:hAnsi="Garamond"/>
                <w:sz w:val="28"/>
                <w:szCs w:val="28"/>
              </w:rPr>
              <w:t xml:space="preserve"> learn all of your students’ names and how to correctly pronounce them</w:t>
            </w:r>
          </w:p>
        </w:tc>
        <w:tc>
          <w:tcPr>
            <w:tcW w:w="4680" w:type="dxa"/>
          </w:tcPr>
          <w:p w14:paraId="7224A2FE" w14:textId="77777777" w:rsidR="00FF1661" w:rsidRDefault="00FF1661" w:rsidP="00496AC2">
            <w:pPr>
              <w:rPr>
                <w:rFonts w:ascii="Garamond" w:hAnsi="Garamond"/>
                <w:sz w:val="28"/>
                <w:szCs w:val="28"/>
              </w:rPr>
            </w:pPr>
            <w:r w:rsidRPr="451F5626">
              <w:rPr>
                <w:rFonts w:ascii="Garamond" w:hAnsi="Garamond"/>
                <w:b/>
                <w:bCs/>
                <w:sz w:val="28"/>
                <w:szCs w:val="28"/>
              </w:rPr>
              <w:t>Don’t</w:t>
            </w:r>
            <w:r w:rsidRPr="451F5626">
              <w:rPr>
                <w:rFonts w:ascii="Garamond" w:hAnsi="Garamond"/>
                <w:sz w:val="28"/>
                <w:szCs w:val="28"/>
              </w:rPr>
              <w:t xml:space="preserve"> make that the only thing you learn about them</w:t>
            </w:r>
          </w:p>
        </w:tc>
      </w:tr>
      <w:tr w:rsidR="00FF1661" w14:paraId="6E5422B0" w14:textId="77777777" w:rsidTr="00496AC2">
        <w:tc>
          <w:tcPr>
            <w:tcW w:w="4680" w:type="dxa"/>
          </w:tcPr>
          <w:p w14:paraId="17669325" w14:textId="77777777" w:rsidR="00FF1661" w:rsidRDefault="00FF1661" w:rsidP="00496AC2">
            <w:pPr>
              <w:rPr>
                <w:rFonts w:ascii="Garamond" w:hAnsi="Garamond"/>
                <w:b/>
                <w:bCs/>
                <w:sz w:val="28"/>
                <w:szCs w:val="28"/>
              </w:rPr>
            </w:pPr>
            <w:r w:rsidRPr="451F5626">
              <w:rPr>
                <w:rFonts w:ascii="Garamond" w:hAnsi="Garamond"/>
                <w:b/>
                <w:bCs/>
                <w:sz w:val="28"/>
                <w:szCs w:val="28"/>
              </w:rPr>
              <w:t>Do</w:t>
            </w:r>
            <w:r w:rsidRPr="451F5626">
              <w:rPr>
                <w:rFonts w:ascii="Garamond" w:hAnsi="Garamond"/>
                <w:sz w:val="28"/>
                <w:szCs w:val="28"/>
              </w:rPr>
              <w:t xml:space="preserve"> recognize that all experiences are valid</w:t>
            </w:r>
          </w:p>
        </w:tc>
        <w:tc>
          <w:tcPr>
            <w:tcW w:w="4680" w:type="dxa"/>
          </w:tcPr>
          <w:p w14:paraId="5527AE3C" w14:textId="77777777" w:rsidR="00FF1661" w:rsidRDefault="00FF1661" w:rsidP="00496AC2">
            <w:pPr>
              <w:rPr>
                <w:rFonts w:ascii="Garamond" w:hAnsi="Garamond"/>
                <w:sz w:val="28"/>
                <w:szCs w:val="28"/>
              </w:rPr>
            </w:pPr>
            <w:r w:rsidRPr="451F5626">
              <w:rPr>
                <w:rFonts w:ascii="Garamond" w:hAnsi="Garamond"/>
                <w:b/>
                <w:bCs/>
                <w:sz w:val="28"/>
                <w:szCs w:val="28"/>
              </w:rPr>
              <w:t xml:space="preserve">Don’t </w:t>
            </w:r>
            <w:r w:rsidRPr="451F5626">
              <w:rPr>
                <w:rFonts w:ascii="Garamond" w:hAnsi="Garamond"/>
                <w:sz w:val="28"/>
                <w:szCs w:val="28"/>
              </w:rPr>
              <w:t>tell someone what they felt or experienced.</w:t>
            </w:r>
          </w:p>
        </w:tc>
      </w:tr>
      <w:tr w:rsidR="00FF1661" w14:paraId="2898C0A2" w14:textId="77777777" w:rsidTr="00496AC2">
        <w:tc>
          <w:tcPr>
            <w:tcW w:w="4680" w:type="dxa"/>
          </w:tcPr>
          <w:p w14:paraId="2CC3B38C" w14:textId="77777777" w:rsidR="00FF1661" w:rsidRDefault="00FF1661" w:rsidP="00496AC2">
            <w:pPr>
              <w:rPr>
                <w:rFonts w:ascii="Garamond" w:hAnsi="Garamond"/>
                <w:sz w:val="28"/>
                <w:szCs w:val="28"/>
              </w:rPr>
            </w:pPr>
            <w:r w:rsidRPr="451F5626">
              <w:rPr>
                <w:rFonts w:ascii="Garamond" w:hAnsi="Garamond"/>
                <w:b/>
                <w:bCs/>
                <w:sz w:val="28"/>
                <w:szCs w:val="28"/>
              </w:rPr>
              <w:lastRenderedPageBreak/>
              <w:t xml:space="preserve">Do </w:t>
            </w:r>
            <w:r w:rsidRPr="451F5626">
              <w:rPr>
                <w:rFonts w:ascii="Garamond" w:hAnsi="Garamond"/>
                <w:sz w:val="28"/>
                <w:szCs w:val="28"/>
              </w:rPr>
              <w:t>create a safe space for students to share their experiences and culture openly.</w:t>
            </w:r>
          </w:p>
        </w:tc>
        <w:tc>
          <w:tcPr>
            <w:tcW w:w="4680" w:type="dxa"/>
          </w:tcPr>
          <w:p w14:paraId="6ACBD434" w14:textId="77777777" w:rsidR="00FF1661" w:rsidRDefault="00FF1661" w:rsidP="00496AC2">
            <w:pPr>
              <w:rPr>
                <w:rFonts w:ascii="Garamond" w:hAnsi="Garamond"/>
                <w:sz w:val="28"/>
                <w:szCs w:val="28"/>
              </w:rPr>
            </w:pPr>
            <w:r w:rsidRPr="451F5626">
              <w:rPr>
                <w:rFonts w:ascii="Garamond" w:hAnsi="Garamond"/>
                <w:b/>
                <w:bCs/>
                <w:sz w:val="28"/>
                <w:szCs w:val="28"/>
              </w:rPr>
              <w:t xml:space="preserve">Don’t </w:t>
            </w:r>
            <w:r w:rsidRPr="451F5626">
              <w:rPr>
                <w:rFonts w:ascii="Garamond" w:hAnsi="Garamond"/>
                <w:sz w:val="28"/>
                <w:szCs w:val="28"/>
              </w:rPr>
              <w:t>ask your students to speak for the experiences of all students in their culture or identity group</w:t>
            </w:r>
          </w:p>
        </w:tc>
      </w:tr>
      <w:tr w:rsidR="00FF1661" w14:paraId="33C063B8" w14:textId="77777777" w:rsidTr="00496AC2">
        <w:tc>
          <w:tcPr>
            <w:tcW w:w="4680" w:type="dxa"/>
          </w:tcPr>
          <w:p w14:paraId="0722D681" w14:textId="29BB0812" w:rsidR="00FF1661" w:rsidRDefault="00FF1661" w:rsidP="00496AC2">
            <w:pPr>
              <w:rPr>
                <w:rFonts w:ascii="Garamond" w:hAnsi="Garamond"/>
                <w:sz w:val="28"/>
                <w:szCs w:val="28"/>
              </w:rPr>
            </w:pPr>
            <w:r w:rsidRPr="451F5626">
              <w:rPr>
                <w:rFonts w:ascii="Garamond" w:hAnsi="Garamond"/>
                <w:b/>
                <w:bCs/>
                <w:sz w:val="28"/>
                <w:szCs w:val="28"/>
              </w:rPr>
              <w:t xml:space="preserve">Do </w:t>
            </w:r>
            <w:r w:rsidR="00430E13">
              <w:rPr>
                <w:rFonts w:ascii="Garamond" w:hAnsi="Garamond"/>
                <w:sz w:val="28"/>
                <w:szCs w:val="28"/>
              </w:rPr>
              <w:t>show compassion when asking questions</w:t>
            </w:r>
          </w:p>
        </w:tc>
        <w:tc>
          <w:tcPr>
            <w:tcW w:w="4680" w:type="dxa"/>
          </w:tcPr>
          <w:p w14:paraId="5E8BC98F" w14:textId="77777777" w:rsidR="00FF1661" w:rsidRDefault="00FF1661" w:rsidP="00496AC2">
            <w:pPr>
              <w:rPr>
                <w:rFonts w:ascii="Garamond" w:hAnsi="Garamond"/>
                <w:sz w:val="28"/>
                <w:szCs w:val="28"/>
              </w:rPr>
            </w:pPr>
            <w:r w:rsidRPr="451F5626">
              <w:rPr>
                <w:rFonts w:ascii="Garamond" w:hAnsi="Garamond"/>
                <w:b/>
                <w:bCs/>
                <w:sz w:val="28"/>
                <w:szCs w:val="28"/>
              </w:rPr>
              <w:t xml:space="preserve">Don’t </w:t>
            </w:r>
            <w:r w:rsidRPr="451F5626">
              <w:rPr>
                <w:rFonts w:ascii="Garamond" w:hAnsi="Garamond"/>
                <w:sz w:val="28"/>
                <w:szCs w:val="28"/>
              </w:rPr>
              <w:t>interrogate.</w:t>
            </w:r>
          </w:p>
        </w:tc>
      </w:tr>
      <w:tr w:rsidR="00FF1661" w14:paraId="48A269AB" w14:textId="77777777" w:rsidTr="00496AC2">
        <w:tc>
          <w:tcPr>
            <w:tcW w:w="4680" w:type="dxa"/>
          </w:tcPr>
          <w:p w14:paraId="76BE4B7A" w14:textId="77777777" w:rsidR="00FF1661" w:rsidRDefault="00FF1661" w:rsidP="00496AC2">
            <w:pPr>
              <w:rPr>
                <w:rFonts w:ascii="Garamond" w:hAnsi="Garamond"/>
                <w:sz w:val="28"/>
                <w:szCs w:val="28"/>
              </w:rPr>
            </w:pPr>
            <w:r w:rsidRPr="451F5626">
              <w:rPr>
                <w:rFonts w:ascii="Garamond" w:hAnsi="Garamond"/>
                <w:b/>
                <w:bCs/>
                <w:sz w:val="28"/>
                <w:szCs w:val="28"/>
              </w:rPr>
              <w:t xml:space="preserve">Do </w:t>
            </w:r>
            <w:r w:rsidRPr="451F5626">
              <w:rPr>
                <w:rFonts w:ascii="Garamond" w:hAnsi="Garamond"/>
                <w:sz w:val="28"/>
                <w:szCs w:val="28"/>
              </w:rPr>
              <w:t>include diverse examples of role models in your examples.</w:t>
            </w:r>
          </w:p>
        </w:tc>
        <w:tc>
          <w:tcPr>
            <w:tcW w:w="4680" w:type="dxa"/>
          </w:tcPr>
          <w:p w14:paraId="7D628C04" w14:textId="77777777" w:rsidR="00FF1661" w:rsidRDefault="00FF1661" w:rsidP="00496AC2">
            <w:pPr>
              <w:rPr>
                <w:rFonts w:ascii="Garamond" w:hAnsi="Garamond"/>
                <w:sz w:val="28"/>
                <w:szCs w:val="28"/>
              </w:rPr>
            </w:pPr>
            <w:r w:rsidRPr="451F5626">
              <w:rPr>
                <w:rFonts w:ascii="Garamond" w:hAnsi="Garamond"/>
                <w:b/>
                <w:bCs/>
                <w:sz w:val="28"/>
                <w:szCs w:val="28"/>
              </w:rPr>
              <w:t xml:space="preserve">Don’t </w:t>
            </w:r>
            <w:r w:rsidRPr="451F5626">
              <w:rPr>
                <w:rFonts w:ascii="Garamond" w:hAnsi="Garamond"/>
                <w:sz w:val="28"/>
                <w:szCs w:val="28"/>
              </w:rPr>
              <w:t>only choose examples that reinforce stereotypes.</w:t>
            </w:r>
          </w:p>
        </w:tc>
      </w:tr>
      <w:tr w:rsidR="00FF1661" w14:paraId="65511154" w14:textId="77777777" w:rsidTr="00496AC2">
        <w:tc>
          <w:tcPr>
            <w:tcW w:w="4680" w:type="dxa"/>
          </w:tcPr>
          <w:p w14:paraId="19BC9479" w14:textId="638A9674" w:rsidR="00FF1661" w:rsidRDefault="00FF1661" w:rsidP="00496AC2">
            <w:pPr>
              <w:rPr>
                <w:rFonts w:ascii="Garamond" w:hAnsi="Garamond"/>
                <w:sz w:val="28"/>
                <w:szCs w:val="28"/>
              </w:rPr>
            </w:pPr>
            <w:r w:rsidRPr="451F5626">
              <w:rPr>
                <w:rFonts w:ascii="Garamond" w:hAnsi="Garamond"/>
                <w:b/>
                <w:bCs/>
                <w:sz w:val="28"/>
                <w:szCs w:val="28"/>
              </w:rPr>
              <w:t>Do</w:t>
            </w:r>
            <w:r w:rsidRPr="451F5626">
              <w:rPr>
                <w:rFonts w:ascii="Garamond" w:hAnsi="Garamond"/>
                <w:sz w:val="28"/>
                <w:szCs w:val="28"/>
              </w:rPr>
              <w:t xml:space="preserve"> honor and </w:t>
            </w:r>
            <w:r w:rsidR="00430E13">
              <w:rPr>
                <w:rFonts w:ascii="Garamond" w:hAnsi="Garamond"/>
                <w:sz w:val="28"/>
                <w:szCs w:val="28"/>
              </w:rPr>
              <w:t xml:space="preserve">celebrate </w:t>
            </w:r>
            <w:r w:rsidRPr="451F5626">
              <w:rPr>
                <w:rFonts w:ascii="Garamond" w:hAnsi="Garamond"/>
                <w:sz w:val="28"/>
                <w:szCs w:val="28"/>
              </w:rPr>
              <w:t>your students’ cultures every day.</w:t>
            </w:r>
          </w:p>
        </w:tc>
        <w:tc>
          <w:tcPr>
            <w:tcW w:w="4680" w:type="dxa"/>
          </w:tcPr>
          <w:p w14:paraId="7298A724" w14:textId="77777777" w:rsidR="00FF1661" w:rsidRDefault="00FF1661" w:rsidP="00496AC2">
            <w:pPr>
              <w:rPr>
                <w:rFonts w:ascii="Garamond" w:hAnsi="Garamond"/>
                <w:sz w:val="28"/>
                <w:szCs w:val="28"/>
              </w:rPr>
            </w:pPr>
            <w:r w:rsidRPr="451F5626">
              <w:rPr>
                <w:rFonts w:ascii="Garamond" w:hAnsi="Garamond"/>
                <w:b/>
                <w:bCs/>
                <w:sz w:val="28"/>
                <w:szCs w:val="28"/>
              </w:rPr>
              <w:t>Don’t</w:t>
            </w:r>
            <w:r w:rsidRPr="451F5626">
              <w:rPr>
                <w:rFonts w:ascii="Garamond" w:hAnsi="Garamond"/>
                <w:sz w:val="28"/>
                <w:szCs w:val="28"/>
              </w:rPr>
              <w:t xml:space="preserve"> recognize certain cultures only on special holidays or months of the year.</w:t>
            </w:r>
          </w:p>
        </w:tc>
      </w:tr>
      <w:tr w:rsidR="00FF1661" w14:paraId="0D4599BD" w14:textId="77777777" w:rsidTr="00496AC2">
        <w:tc>
          <w:tcPr>
            <w:tcW w:w="4680" w:type="dxa"/>
          </w:tcPr>
          <w:p w14:paraId="7212AA17" w14:textId="77777777" w:rsidR="00FF1661" w:rsidRDefault="00FF1661" w:rsidP="00496AC2">
            <w:pPr>
              <w:rPr>
                <w:rFonts w:ascii="Garamond" w:hAnsi="Garamond"/>
                <w:sz w:val="28"/>
                <w:szCs w:val="28"/>
              </w:rPr>
            </w:pPr>
            <w:r w:rsidRPr="451F5626">
              <w:rPr>
                <w:rFonts w:ascii="Garamond" w:hAnsi="Garamond"/>
                <w:b/>
                <w:bCs/>
                <w:sz w:val="28"/>
                <w:szCs w:val="28"/>
              </w:rPr>
              <w:t>Do</w:t>
            </w:r>
            <w:r w:rsidRPr="451F5626">
              <w:rPr>
                <w:rFonts w:ascii="Garamond" w:hAnsi="Garamond"/>
                <w:sz w:val="28"/>
                <w:szCs w:val="28"/>
              </w:rPr>
              <w:t xml:space="preserve"> set an example of openness by sharing your background and culture.</w:t>
            </w:r>
          </w:p>
        </w:tc>
        <w:tc>
          <w:tcPr>
            <w:tcW w:w="4680" w:type="dxa"/>
          </w:tcPr>
          <w:p w14:paraId="511427BF" w14:textId="77777777" w:rsidR="00FF1661" w:rsidRDefault="00FF1661" w:rsidP="00496AC2">
            <w:pPr>
              <w:rPr>
                <w:rFonts w:ascii="Garamond" w:hAnsi="Garamond"/>
                <w:sz w:val="28"/>
                <w:szCs w:val="28"/>
              </w:rPr>
            </w:pPr>
            <w:r w:rsidRPr="451F5626">
              <w:rPr>
                <w:rFonts w:ascii="Garamond" w:hAnsi="Garamond"/>
                <w:b/>
                <w:bCs/>
                <w:sz w:val="28"/>
                <w:szCs w:val="28"/>
              </w:rPr>
              <w:t>Don’t</w:t>
            </w:r>
            <w:r w:rsidRPr="451F5626">
              <w:rPr>
                <w:rFonts w:ascii="Garamond" w:hAnsi="Garamond"/>
                <w:sz w:val="28"/>
                <w:szCs w:val="28"/>
              </w:rPr>
              <w:t xml:space="preserve"> assume that students have the same background and culture as you</w:t>
            </w:r>
          </w:p>
        </w:tc>
      </w:tr>
    </w:tbl>
    <w:p w14:paraId="16E08974" w14:textId="3F05F345" w:rsidR="00FF1661" w:rsidRDefault="00FF1661" w:rsidP="00097B27">
      <w:pPr>
        <w:rPr>
          <w:rFonts w:ascii="Garamond" w:hAnsi="Garamond"/>
          <w:sz w:val="28"/>
          <w:szCs w:val="28"/>
        </w:rPr>
      </w:pPr>
    </w:p>
    <w:p w14:paraId="3C1EF2D2" w14:textId="77777777" w:rsidR="00474122" w:rsidRDefault="00FF1661" w:rsidP="00474122">
      <w:pPr>
        <w:pStyle w:val="ListParagraph"/>
        <w:numPr>
          <w:ilvl w:val="0"/>
          <w:numId w:val="1"/>
        </w:numPr>
        <w:rPr>
          <w:rFonts w:ascii="Garamond" w:hAnsi="Garamond"/>
          <w:sz w:val="28"/>
          <w:szCs w:val="28"/>
        </w:rPr>
      </w:pPr>
      <w:r w:rsidRPr="00FF1661">
        <w:rPr>
          <w:rFonts w:ascii="Garamond" w:hAnsi="Garamond"/>
          <w:sz w:val="28"/>
          <w:szCs w:val="28"/>
        </w:rPr>
        <w:t>The ADDRESSING Model</w:t>
      </w:r>
    </w:p>
    <w:p w14:paraId="77936883" w14:textId="7746FA41" w:rsidR="00FF1661" w:rsidRPr="00474122" w:rsidRDefault="00FF1661" w:rsidP="00474122">
      <w:pPr>
        <w:pStyle w:val="ListParagraph"/>
        <w:numPr>
          <w:ilvl w:val="0"/>
          <w:numId w:val="3"/>
        </w:numPr>
        <w:ind w:left="1440"/>
        <w:rPr>
          <w:rFonts w:ascii="Garamond" w:hAnsi="Garamond"/>
          <w:sz w:val="28"/>
          <w:szCs w:val="28"/>
        </w:rPr>
      </w:pPr>
      <w:r w:rsidRPr="00474122">
        <w:rPr>
          <w:rFonts w:ascii="Garamond" w:hAnsi="Garamond"/>
          <w:sz w:val="28"/>
          <w:szCs w:val="28"/>
        </w:rPr>
        <w:t>Th</w:t>
      </w:r>
      <w:r w:rsidR="00474122">
        <w:rPr>
          <w:rFonts w:ascii="Garamond" w:hAnsi="Garamond"/>
          <w:sz w:val="28"/>
          <w:szCs w:val="28"/>
        </w:rPr>
        <w:t>is</w:t>
      </w:r>
      <w:r w:rsidRPr="00474122">
        <w:rPr>
          <w:rFonts w:ascii="Garamond" w:hAnsi="Garamond"/>
          <w:sz w:val="28"/>
          <w:szCs w:val="28"/>
        </w:rPr>
        <w:t xml:space="preserve"> model is a</w:t>
      </w:r>
      <w:r w:rsidR="00430E13">
        <w:rPr>
          <w:rFonts w:ascii="Garamond" w:hAnsi="Garamond"/>
          <w:sz w:val="28"/>
          <w:szCs w:val="28"/>
        </w:rPr>
        <w:t xml:space="preserve"> strategy </w:t>
      </w:r>
      <w:r w:rsidR="00881459">
        <w:rPr>
          <w:rFonts w:ascii="Garamond" w:hAnsi="Garamond"/>
          <w:sz w:val="28"/>
          <w:szCs w:val="28"/>
        </w:rPr>
        <w:t>for</w:t>
      </w:r>
      <w:r w:rsidRPr="00474122">
        <w:rPr>
          <w:rFonts w:ascii="Garamond" w:hAnsi="Garamond"/>
          <w:sz w:val="28"/>
          <w:szCs w:val="28"/>
        </w:rPr>
        <w:t xml:space="preserve"> thinking about </w:t>
      </w:r>
      <w:r w:rsidR="00474122">
        <w:rPr>
          <w:rFonts w:ascii="Garamond" w:hAnsi="Garamond"/>
          <w:sz w:val="28"/>
          <w:szCs w:val="28"/>
        </w:rPr>
        <w:t xml:space="preserve">how </w:t>
      </w:r>
      <w:r w:rsidRPr="00474122">
        <w:rPr>
          <w:rFonts w:ascii="Garamond" w:hAnsi="Garamond"/>
          <w:sz w:val="28"/>
          <w:szCs w:val="28"/>
        </w:rPr>
        <w:t xml:space="preserve">each distinct identity that a particular student </w:t>
      </w:r>
      <w:r w:rsidR="00881459">
        <w:rPr>
          <w:rFonts w:ascii="Garamond" w:hAnsi="Garamond"/>
          <w:sz w:val="28"/>
          <w:szCs w:val="28"/>
        </w:rPr>
        <w:t>holds may</w:t>
      </w:r>
      <w:r w:rsidRPr="00474122">
        <w:rPr>
          <w:rFonts w:ascii="Garamond" w:hAnsi="Garamond"/>
          <w:sz w:val="28"/>
          <w:szCs w:val="28"/>
        </w:rPr>
        <w:t xml:space="preserve"> influence </w:t>
      </w:r>
      <w:r w:rsidR="00474122">
        <w:rPr>
          <w:rFonts w:ascii="Garamond" w:hAnsi="Garamond"/>
          <w:sz w:val="28"/>
          <w:szCs w:val="28"/>
        </w:rPr>
        <w:t>their</w:t>
      </w:r>
      <w:r w:rsidRPr="00474122">
        <w:rPr>
          <w:rFonts w:ascii="Garamond" w:hAnsi="Garamond"/>
          <w:sz w:val="28"/>
          <w:szCs w:val="28"/>
        </w:rPr>
        <w:t xml:space="preserve"> interests or values. Each identity in the ADDRESSING model is defined below</w:t>
      </w:r>
      <w:r w:rsidR="00881459">
        <w:rPr>
          <w:rFonts w:ascii="Garamond" w:hAnsi="Garamond"/>
          <w:sz w:val="28"/>
          <w:szCs w:val="28"/>
        </w:rPr>
        <w:t>:</w:t>
      </w:r>
    </w:p>
    <w:p w14:paraId="7CE6DCE0" w14:textId="3FB484EC" w:rsidR="00466A0D" w:rsidRDefault="00466A0D" w:rsidP="00FF1661">
      <w:pPr>
        <w:rPr>
          <w:rFonts w:ascii="Garamond" w:hAnsi="Garamond"/>
          <w:sz w:val="28"/>
          <w:szCs w:val="28"/>
        </w:rPr>
      </w:pPr>
    </w:p>
    <w:tbl>
      <w:tblPr>
        <w:tblStyle w:val="TableGrid"/>
        <w:tblW w:w="9445" w:type="dxa"/>
        <w:tblLook w:val="04A0" w:firstRow="1" w:lastRow="0" w:firstColumn="1" w:lastColumn="0" w:noHBand="0" w:noVBand="1"/>
      </w:tblPr>
      <w:tblGrid>
        <w:gridCol w:w="3775"/>
        <w:gridCol w:w="5670"/>
      </w:tblGrid>
      <w:tr w:rsidR="00FF1661" w14:paraId="003B22C1" w14:textId="77777777" w:rsidTr="00474122">
        <w:trPr>
          <w:trHeight w:val="530"/>
        </w:trPr>
        <w:tc>
          <w:tcPr>
            <w:tcW w:w="3775" w:type="dxa"/>
            <w:vAlign w:val="center"/>
          </w:tcPr>
          <w:p w14:paraId="28C501BC" w14:textId="5CF51834" w:rsidR="00FF1661" w:rsidRPr="008732FE" w:rsidRDefault="00FF1661" w:rsidP="00466A0D">
            <w:pPr>
              <w:jc w:val="center"/>
              <w:rPr>
                <w:rFonts w:ascii="Garamond" w:hAnsi="Garamond"/>
                <w:b/>
                <w:bCs/>
                <w:sz w:val="32"/>
                <w:szCs w:val="32"/>
              </w:rPr>
            </w:pPr>
            <w:r>
              <w:rPr>
                <w:rFonts w:ascii="Garamond" w:hAnsi="Garamond"/>
                <w:b/>
                <w:bCs/>
                <w:sz w:val="32"/>
                <w:szCs w:val="32"/>
              </w:rPr>
              <w:t>Identity</w:t>
            </w:r>
          </w:p>
        </w:tc>
        <w:tc>
          <w:tcPr>
            <w:tcW w:w="5670" w:type="dxa"/>
            <w:vAlign w:val="center"/>
          </w:tcPr>
          <w:p w14:paraId="28E05ABF" w14:textId="1CB79023" w:rsidR="00FF1661" w:rsidRPr="008732FE" w:rsidRDefault="00FF1661" w:rsidP="00466A0D">
            <w:pPr>
              <w:jc w:val="center"/>
              <w:rPr>
                <w:rFonts w:ascii="Garamond" w:hAnsi="Garamond"/>
                <w:b/>
                <w:bCs/>
                <w:sz w:val="32"/>
                <w:szCs w:val="32"/>
              </w:rPr>
            </w:pPr>
            <w:r w:rsidRPr="3617F9F4">
              <w:rPr>
                <w:rFonts w:ascii="Garamond" w:hAnsi="Garamond"/>
                <w:b/>
                <w:bCs/>
                <w:sz w:val="32"/>
                <w:szCs w:val="32"/>
              </w:rPr>
              <w:t>Definition</w:t>
            </w:r>
          </w:p>
        </w:tc>
      </w:tr>
      <w:tr w:rsidR="00FF1661" w14:paraId="338622A5" w14:textId="77777777" w:rsidTr="00474122">
        <w:tc>
          <w:tcPr>
            <w:tcW w:w="3775" w:type="dxa"/>
            <w:vAlign w:val="center"/>
          </w:tcPr>
          <w:p w14:paraId="77B0EAD3" w14:textId="5961C105" w:rsidR="00FF1661" w:rsidRPr="00466A0D" w:rsidRDefault="00FF1661" w:rsidP="00466A0D">
            <w:pPr>
              <w:jc w:val="center"/>
              <w:rPr>
                <w:rFonts w:ascii="Garamond" w:hAnsi="Garamond"/>
                <w:sz w:val="28"/>
                <w:szCs w:val="28"/>
              </w:rPr>
            </w:pPr>
            <w:r>
              <w:rPr>
                <w:rFonts w:ascii="Garamond" w:hAnsi="Garamond"/>
                <w:b/>
                <w:bCs/>
                <w:sz w:val="28"/>
                <w:szCs w:val="28"/>
                <w:u w:val="single"/>
              </w:rPr>
              <w:t>A</w:t>
            </w:r>
            <w:r>
              <w:rPr>
                <w:rFonts w:ascii="Garamond" w:hAnsi="Garamond"/>
                <w:sz w:val="28"/>
                <w:szCs w:val="28"/>
              </w:rPr>
              <w:t>ge</w:t>
            </w:r>
          </w:p>
        </w:tc>
        <w:tc>
          <w:tcPr>
            <w:tcW w:w="5670" w:type="dxa"/>
            <w:vAlign w:val="center"/>
          </w:tcPr>
          <w:p w14:paraId="592DA101" w14:textId="7BFEF3A4" w:rsidR="00FF1661" w:rsidRPr="008732FE" w:rsidRDefault="00FF1661" w:rsidP="00430E13">
            <w:pPr>
              <w:rPr>
                <w:rFonts w:ascii="Garamond" w:hAnsi="Garamond"/>
              </w:rPr>
            </w:pPr>
            <w:r w:rsidRPr="008732FE">
              <w:rPr>
                <w:rFonts w:ascii="Garamond" w:hAnsi="Garamond"/>
              </w:rPr>
              <w:t>Chronological age and generational roles that are important in a person’s culture including experiences specific to age cohorts</w:t>
            </w:r>
            <w:r>
              <w:rPr>
                <w:rFonts w:ascii="Garamond" w:hAnsi="Garamond"/>
              </w:rPr>
              <w:t xml:space="preserve"> such as being a “teenager” or a “young adult”</w:t>
            </w:r>
          </w:p>
        </w:tc>
      </w:tr>
      <w:tr w:rsidR="00FF1661" w14:paraId="15029EE3" w14:textId="77777777" w:rsidTr="00474122">
        <w:tc>
          <w:tcPr>
            <w:tcW w:w="3775" w:type="dxa"/>
            <w:vAlign w:val="center"/>
          </w:tcPr>
          <w:p w14:paraId="3BEBED2E" w14:textId="5B583DD0" w:rsidR="00FF1661" w:rsidRPr="00466A0D" w:rsidRDefault="00FF1661" w:rsidP="00466A0D">
            <w:pPr>
              <w:jc w:val="center"/>
              <w:rPr>
                <w:rFonts w:ascii="Garamond" w:hAnsi="Garamond"/>
                <w:sz w:val="28"/>
                <w:szCs w:val="28"/>
              </w:rPr>
            </w:pPr>
            <w:r w:rsidRPr="40D44717">
              <w:rPr>
                <w:rFonts w:ascii="Garamond" w:hAnsi="Garamond"/>
                <w:b/>
                <w:bCs/>
                <w:sz w:val="28"/>
                <w:szCs w:val="28"/>
                <w:u w:val="single"/>
              </w:rPr>
              <w:t>D</w:t>
            </w:r>
            <w:r w:rsidRPr="40D44717">
              <w:rPr>
                <w:rFonts w:ascii="Garamond" w:hAnsi="Garamond"/>
                <w:sz w:val="28"/>
                <w:szCs w:val="28"/>
              </w:rPr>
              <w:t xml:space="preserve">isability (Developmental) </w:t>
            </w:r>
          </w:p>
        </w:tc>
        <w:tc>
          <w:tcPr>
            <w:tcW w:w="5670" w:type="dxa"/>
            <w:vAlign w:val="center"/>
          </w:tcPr>
          <w:p w14:paraId="64F6E45C" w14:textId="2176576B" w:rsidR="00FF1661" w:rsidRPr="008732FE" w:rsidRDefault="00FF1661" w:rsidP="00430E13">
            <w:pPr>
              <w:rPr>
                <w:rFonts w:ascii="Garamond" w:hAnsi="Garamond"/>
              </w:rPr>
            </w:pPr>
            <w:r w:rsidRPr="40D44717">
              <w:rPr>
                <w:rFonts w:ascii="Garamond" w:hAnsi="Garamond"/>
              </w:rPr>
              <w:t>Disability that a person is born with such as Down Syndrome, Autism, etc.</w:t>
            </w:r>
          </w:p>
        </w:tc>
      </w:tr>
      <w:tr w:rsidR="00FF1661" w14:paraId="368DAB06" w14:textId="77777777" w:rsidTr="00474122">
        <w:tc>
          <w:tcPr>
            <w:tcW w:w="3775" w:type="dxa"/>
            <w:vAlign w:val="center"/>
          </w:tcPr>
          <w:p w14:paraId="69864B14" w14:textId="5DFC3D25" w:rsidR="00FF1661" w:rsidRPr="00EC3FB9" w:rsidRDefault="00FF1661" w:rsidP="0019622D">
            <w:pPr>
              <w:spacing w:line="259" w:lineRule="auto"/>
              <w:jc w:val="center"/>
              <w:rPr>
                <w:rFonts w:ascii="Garamond" w:hAnsi="Garamond"/>
                <w:b/>
                <w:bCs/>
                <w:sz w:val="28"/>
                <w:szCs w:val="28"/>
              </w:rPr>
            </w:pPr>
            <w:r w:rsidRPr="00EC3FB9">
              <w:rPr>
                <w:rFonts w:ascii="Garamond" w:hAnsi="Garamond"/>
                <w:b/>
                <w:bCs/>
                <w:sz w:val="28"/>
                <w:szCs w:val="28"/>
              </w:rPr>
              <w:t>D</w:t>
            </w:r>
            <w:r w:rsidRPr="00EC3FB9">
              <w:rPr>
                <w:rFonts w:ascii="Garamond" w:hAnsi="Garamond"/>
                <w:sz w:val="28"/>
                <w:szCs w:val="28"/>
              </w:rPr>
              <w:t>isability (Acquired)</w:t>
            </w:r>
          </w:p>
        </w:tc>
        <w:tc>
          <w:tcPr>
            <w:tcW w:w="5670" w:type="dxa"/>
            <w:vAlign w:val="center"/>
          </w:tcPr>
          <w:p w14:paraId="7395E4BD" w14:textId="4B4F5C8F" w:rsidR="00FF1661" w:rsidRDefault="00FF1661" w:rsidP="00430E13">
            <w:pPr>
              <w:rPr>
                <w:rFonts w:ascii="Garamond" w:hAnsi="Garamond"/>
              </w:rPr>
            </w:pPr>
            <w:r w:rsidRPr="40D44717">
              <w:rPr>
                <w:rFonts w:ascii="Garamond" w:hAnsi="Garamond"/>
              </w:rPr>
              <w:t>Disability that a person acquires later in life due to an accident or illness, such as a Traumatic Brain Injury</w:t>
            </w:r>
          </w:p>
        </w:tc>
      </w:tr>
      <w:tr w:rsidR="00FF1661" w14:paraId="262DFF6E" w14:textId="77777777" w:rsidTr="00474122">
        <w:tc>
          <w:tcPr>
            <w:tcW w:w="3775" w:type="dxa"/>
            <w:vAlign w:val="center"/>
          </w:tcPr>
          <w:p w14:paraId="20962C08" w14:textId="1647F54E" w:rsidR="00FF1661" w:rsidRPr="00466A0D" w:rsidRDefault="00FF1661" w:rsidP="00466A0D">
            <w:pPr>
              <w:jc w:val="center"/>
              <w:rPr>
                <w:rFonts w:ascii="Garamond" w:hAnsi="Garamond"/>
                <w:sz w:val="28"/>
                <w:szCs w:val="28"/>
              </w:rPr>
            </w:pPr>
            <w:r>
              <w:rPr>
                <w:rFonts w:ascii="Garamond" w:hAnsi="Garamond"/>
                <w:b/>
                <w:bCs/>
                <w:sz w:val="28"/>
                <w:szCs w:val="28"/>
                <w:u w:val="single"/>
              </w:rPr>
              <w:t>R</w:t>
            </w:r>
            <w:r>
              <w:rPr>
                <w:rFonts w:ascii="Garamond" w:hAnsi="Garamond"/>
                <w:sz w:val="28"/>
                <w:szCs w:val="28"/>
              </w:rPr>
              <w:t>eligion and spiritual orientation</w:t>
            </w:r>
          </w:p>
        </w:tc>
        <w:tc>
          <w:tcPr>
            <w:tcW w:w="5670" w:type="dxa"/>
            <w:vAlign w:val="center"/>
          </w:tcPr>
          <w:p w14:paraId="3C23DFE9" w14:textId="0C2420CB" w:rsidR="00FF1661" w:rsidRPr="008732FE" w:rsidRDefault="00FF1661" w:rsidP="00430E13">
            <w:pPr>
              <w:rPr>
                <w:rFonts w:ascii="Garamond" w:hAnsi="Garamond"/>
              </w:rPr>
            </w:pPr>
            <w:r w:rsidRPr="40D44717">
              <w:rPr>
                <w:rFonts w:ascii="Garamond" w:hAnsi="Garamond"/>
              </w:rPr>
              <w:t>Religious beliefs that a person aligns themselves with such as Christianity, Islam, Judaism, Hinduism, Buddhism, Atheism, etc.</w:t>
            </w:r>
          </w:p>
        </w:tc>
      </w:tr>
      <w:tr w:rsidR="00FF1661" w14:paraId="0A80FECC" w14:textId="77777777" w:rsidTr="00474122">
        <w:trPr>
          <w:trHeight w:val="593"/>
        </w:trPr>
        <w:tc>
          <w:tcPr>
            <w:tcW w:w="3775" w:type="dxa"/>
            <w:vAlign w:val="center"/>
          </w:tcPr>
          <w:p w14:paraId="4DACE0D3" w14:textId="4619C5B9" w:rsidR="00FF1661" w:rsidRPr="00466A0D" w:rsidRDefault="00FF1661" w:rsidP="00466A0D">
            <w:pPr>
              <w:jc w:val="center"/>
              <w:rPr>
                <w:rFonts w:ascii="Garamond" w:hAnsi="Garamond"/>
                <w:sz w:val="28"/>
                <w:szCs w:val="28"/>
              </w:rPr>
            </w:pPr>
            <w:r w:rsidRPr="40D44717">
              <w:rPr>
                <w:rFonts w:ascii="Garamond" w:hAnsi="Garamond"/>
                <w:b/>
                <w:bCs/>
                <w:sz w:val="28"/>
                <w:szCs w:val="28"/>
                <w:u w:val="single"/>
              </w:rPr>
              <w:t>E</w:t>
            </w:r>
            <w:r w:rsidRPr="40D44717">
              <w:rPr>
                <w:rFonts w:ascii="Garamond" w:hAnsi="Garamond"/>
                <w:sz w:val="28"/>
                <w:szCs w:val="28"/>
              </w:rPr>
              <w:t>thnic</w:t>
            </w:r>
            <w:r>
              <w:rPr>
                <w:rFonts w:ascii="Garamond" w:hAnsi="Garamond"/>
                <w:sz w:val="28"/>
                <w:szCs w:val="28"/>
              </w:rPr>
              <w:t>ity</w:t>
            </w:r>
            <w:r w:rsidRPr="40D44717">
              <w:rPr>
                <w:rFonts w:ascii="Garamond" w:hAnsi="Garamond"/>
                <w:sz w:val="28"/>
                <w:szCs w:val="28"/>
              </w:rPr>
              <w:t xml:space="preserve"> and rac</w:t>
            </w:r>
            <w:r>
              <w:rPr>
                <w:rFonts w:ascii="Garamond" w:hAnsi="Garamond"/>
                <w:sz w:val="28"/>
                <w:szCs w:val="28"/>
              </w:rPr>
              <w:t>e</w:t>
            </w:r>
          </w:p>
        </w:tc>
        <w:tc>
          <w:tcPr>
            <w:tcW w:w="5670" w:type="dxa"/>
            <w:vAlign w:val="center"/>
          </w:tcPr>
          <w:p w14:paraId="7C39CB87" w14:textId="14E1F024" w:rsidR="00FF1661" w:rsidRPr="008732FE" w:rsidRDefault="00FF1661" w:rsidP="00430E13">
            <w:pPr>
              <w:rPr>
                <w:rFonts w:ascii="Garamond" w:hAnsi="Garamond"/>
              </w:rPr>
            </w:pPr>
            <w:r w:rsidRPr="40D44717">
              <w:rPr>
                <w:rFonts w:ascii="Garamond" w:hAnsi="Garamond"/>
              </w:rPr>
              <w:t>A person’s sense of belonging to a particular race or ethnic group including Asian, Pacific Islander, Latinx, African American, White, etc.</w:t>
            </w:r>
          </w:p>
        </w:tc>
      </w:tr>
      <w:tr w:rsidR="00FF1661" w14:paraId="08708934" w14:textId="77777777" w:rsidTr="00474122">
        <w:trPr>
          <w:trHeight w:val="620"/>
        </w:trPr>
        <w:tc>
          <w:tcPr>
            <w:tcW w:w="3775" w:type="dxa"/>
            <w:vAlign w:val="center"/>
          </w:tcPr>
          <w:p w14:paraId="11BB92DB" w14:textId="58F62333" w:rsidR="00FF1661" w:rsidRPr="00466A0D" w:rsidRDefault="00FF1661" w:rsidP="00466A0D">
            <w:pPr>
              <w:jc w:val="center"/>
              <w:rPr>
                <w:rFonts w:ascii="Garamond" w:hAnsi="Garamond"/>
                <w:sz w:val="28"/>
                <w:szCs w:val="28"/>
              </w:rPr>
            </w:pPr>
            <w:r>
              <w:rPr>
                <w:rFonts w:ascii="Garamond" w:hAnsi="Garamond"/>
                <w:b/>
                <w:bCs/>
                <w:sz w:val="28"/>
                <w:szCs w:val="28"/>
                <w:u w:val="single"/>
              </w:rPr>
              <w:t>S</w:t>
            </w:r>
            <w:r>
              <w:rPr>
                <w:rFonts w:ascii="Garamond" w:hAnsi="Garamond"/>
                <w:sz w:val="28"/>
                <w:szCs w:val="28"/>
              </w:rPr>
              <w:t>ocioeconomic status</w:t>
            </w:r>
          </w:p>
        </w:tc>
        <w:tc>
          <w:tcPr>
            <w:tcW w:w="5670" w:type="dxa"/>
            <w:vAlign w:val="center"/>
          </w:tcPr>
          <w:p w14:paraId="63FD9E9E" w14:textId="25B6A5C0" w:rsidR="00FF1661" w:rsidRPr="008732FE" w:rsidRDefault="00FF1661" w:rsidP="00430E13">
            <w:pPr>
              <w:rPr>
                <w:rFonts w:ascii="Garamond" w:hAnsi="Garamond"/>
              </w:rPr>
            </w:pPr>
            <w:r w:rsidRPr="40D44717">
              <w:rPr>
                <w:rFonts w:ascii="Garamond" w:hAnsi="Garamond"/>
              </w:rPr>
              <w:t>Typically defined by education, occupation, and income and ranges from people with low education and poverty to people with high education and extreme wealth</w:t>
            </w:r>
          </w:p>
        </w:tc>
      </w:tr>
      <w:tr w:rsidR="00FF1661" w14:paraId="70567040" w14:textId="77777777" w:rsidTr="00474122">
        <w:trPr>
          <w:trHeight w:val="620"/>
        </w:trPr>
        <w:tc>
          <w:tcPr>
            <w:tcW w:w="3775" w:type="dxa"/>
            <w:vAlign w:val="center"/>
          </w:tcPr>
          <w:p w14:paraId="604C38F3" w14:textId="34F24136" w:rsidR="00FF1661" w:rsidRPr="00466A0D" w:rsidRDefault="00FF1661" w:rsidP="00466A0D">
            <w:pPr>
              <w:jc w:val="center"/>
              <w:rPr>
                <w:rFonts w:ascii="Garamond" w:hAnsi="Garamond"/>
                <w:sz w:val="28"/>
                <w:szCs w:val="28"/>
              </w:rPr>
            </w:pPr>
            <w:r>
              <w:rPr>
                <w:rFonts w:ascii="Garamond" w:hAnsi="Garamond"/>
                <w:b/>
                <w:bCs/>
                <w:sz w:val="28"/>
                <w:szCs w:val="28"/>
                <w:u w:val="single"/>
              </w:rPr>
              <w:t>S</w:t>
            </w:r>
            <w:r>
              <w:rPr>
                <w:rFonts w:ascii="Garamond" w:hAnsi="Garamond"/>
                <w:sz w:val="28"/>
                <w:szCs w:val="28"/>
              </w:rPr>
              <w:t>exual orientation</w:t>
            </w:r>
          </w:p>
        </w:tc>
        <w:tc>
          <w:tcPr>
            <w:tcW w:w="5670" w:type="dxa"/>
            <w:vAlign w:val="center"/>
          </w:tcPr>
          <w:p w14:paraId="6731B0CB" w14:textId="7D2AA028" w:rsidR="00FF1661" w:rsidRPr="008732FE" w:rsidRDefault="00FF1661" w:rsidP="00430E13">
            <w:pPr>
              <w:rPr>
                <w:rFonts w:ascii="Garamond" w:hAnsi="Garamond"/>
              </w:rPr>
            </w:pPr>
            <w:r w:rsidRPr="40D44717">
              <w:rPr>
                <w:rFonts w:ascii="Garamond" w:hAnsi="Garamond"/>
              </w:rPr>
              <w:t>A person’s sexual preference (Lesbian, Gay, Bisexual, etc.)</w:t>
            </w:r>
          </w:p>
        </w:tc>
      </w:tr>
      <w:tr w:rsidR="00FF1661" w14:paraId="360B8BE6" w14:textId="77777777" w:rsidTr="00474122">
        <w:trPr>
          <w:trHeight w:val="620"/>
        </w:trPr>
        <w:tc>
          <w:tcPr>
            <w:tcW w:w="3775" w:type="dxa"/>
            <w:vAlign w:val="center"/>
          </w:tcPr>
          <w:p w14:paraId="3F1D303A" w14:textId="20FC4164" w:rsidR="00FF1661" w:rsidRPr="00466A0D" w:rsidRDefault="00FF1661" w:rsidP="00466A0D">
            <w:pPr>
              <w:jc w:val="center"/>
              <w:rPr>
                <w:rFonts w:ascii="Garamond" w:hAnsi="Garamond"/>
                <w:sz w:val="28"/>
                <w:szCs w:val="28"/>
              </w:rPr>
            </w:pPr>
            <w:r w:rsidRPr="40D44717">
              <w:rPr>
                <w:rFonts w:ascii="Garamond" w:hAnsi="Garamond"/>
                <w:b/>
                <w:bCs/>
                <w:sz w:val="28"/>
                <w:szCs w:val="28"/>
                <w:u w:val="single"/>
              </w:rPr>
              <w:t>I</w:t>
            </w:r>
            <w:r w:rsidRPr="40D44717">
              <w:rPr>
                <w:rFonts w:ascii="Garamond" w:hAnsi="Garamond"/>
                <w:sz w:val="28"/>
                <w:szCs w:val="28"/>
              </w:rPr>
              <w:t>ndigenous heritage</w:t>
            </w:r>
          </w:p>
        </w:tc>
        <w:tc>
          <w:tcPr>
            <w:tcW w:w="5670" w:type="dxa"/>
            <w:vAlign w:val="center"/>
          </w:tcPr>
          <w:p w14:paraId="5DCFE6FA" w14:textId="6CCC4FEC" w:rsidR="00FF1661" w:rsidRPr="008732FE" w:rsidRDefault="00FF1661" w:rsidP="00430E13">
            <w:pPr>
              <w:rPr>
                <w:rFonts w:ascii="Garamond" w:hAnsi="Garamond"/>
              </w:rPr>
            </w:pPr>
            <w:r w:rsidRPr="3617F9F4">
              <w:rPr>
                <w:rFonts w:ascii="Garamond" w:hAnsi="Garamond"/>
              </w:rPr>
              <w:t>A person who is of indigenous or native heritage</w:t>
            </w:r>
          </w:p>
        </w:tc>
      </w:tr>
      <w:tr w:rsidR="00FF1661" w14:paraId="15AA714E" w14:textId="77777777" w:rsidTr="00474122">
        <w:trPr>
          <w:trHeight w:val="620"/>
        </w:trPr>
        <w:tc>
          <w:tcPr>
            <w:tcW w:w="3775" w:type="dxa"/>
            <w:vAlign w:val="center"/>
          </w:tcPr>
          <w:p w14:paraId="74800FC8" w14:textId="45EC9320" w:rsidR="00FF1661" w:rsidRPr="00466A0D" w:rsidRDefault="00FF1661" w:rsidP="00466A0D">
            <w:pPr>
              <w:jc w:val="center"/>
              <w:rPr>
                <w:rFonts w:ascii="Garamond" w:hAnsi="Garamond"/>
                <w:sz w:val="28"/>
                <w:szCs w:val="28"/>
              </w:rPr>
            </w:pPr>
            <w:r>
              <w:rPr>
                <w:rFonts w:ascii="Garamond" w:hAnsi="Garamond"/>
                <w:b/>
                <w:bCs/>
                <w:sz w:val="28"/>
                <w:szCs w:val="28"/>
                <w:u w:val="single"/>
              </w:rPr>
              <w:t>N</w:t>
            </w:r>
            <w:r>
              <w:rPr>
                <w:rFonts w:ascii="Garamond" w:hAnsi="Garamond"/>
                <w:sz w:val="28"/>
                <w:szCs w:val="28"/>
              </w:rPr>
              <w:t>ational origin and Language</w:t>
            </w:r>
          </w:p>
        </w:tc>
        <w:tc>
          <w:tcPr>
            <w:tcW w:w="5670" w:type="dxa"/>
            <w:vAlign w:val="center"/>
          </w:tcPr>
          <w:p w14:paraId="6FEA65DD" w14:textId="7DC8194F" w:rsidR="00FF1661" w:rsidRPr="008732FE" w:rsidRDefault="00FF1661" w:rsidP="00430E13">
            <w:pPr>
              <w:rPr>
                <w:rFonts w:ascii="Garamond" w:hAnsi="Garamond"/>
              </w:rPr>
            </w:pPr>
            <w:r w:rsidRPr="40D44717">
              <w:rPr>
                <w:rFonts w:ascii="Garamond" w:hAnsi="Garamond"/>
              </w:rPr>
              <w:t>Is the student living in their country of birth?</w:t>
            </w:r>
            <w:r>
              <w:rPr>
                <w:rFonts w:ascii="Garamond" w:hAnsi="Garamond"/>
              </w:rPr>
              <w:t xml:space="preserve"> Does the student speak multiple languages or sign language?</w:t>
            </w:r>
            <w:r w:rsidRPr="40D44717">
              <w:rPr>
                <w:rFonts w:ascii="Garamond" w:hAnsi="Garamond"/>
              </w:rPr>
              <w:t xml:space="preserve"> For example: immigrants, refugees, and international students</w:t>
            </w:r>
            <w:r>
              <w:rPr>
                <w:rFonts w:ascii="Garamond" w:hAnsi="Garamond"/>
              </w:rPr>
              <w:t xml:space="preserve">. </w:t>
            </w:r>
          </w:p>
        </w:tc>
      </w:tr>
      <w:tr w:rsidR="00FF1661" w14:paraId="35D04BC9" w14:textId="77777777" w:rsidTr="00474122">
        <w:trPr>
          <w:trHeight w:val="620"/>
        </w:trPr>
        <w:tc>
          <w:tcPr>
            <w:tcW w:w="3775" w:type="dxa"/>
            <w:vAlign w:val="center"/>
          </w:tcPr>
          <w:p w14:paraId="43315EA6" w14:textId="3306A545" w:rsidR="00FF1661" w:rsidRPr="00466A0D" w:rsidRDefault="00FF1661" w:rsidP="00466A0D">
            <w:pPr>
              <w:jc w:val="center"/>
              <w:rPr>
                <w:rFonts w:ascii="Garamond" w:hAnsi="Garamond"/>
                <w:sz w:val="28"/>
                <w:szCs w:val="28"/>
              </w:rPr>
            </w:pPr>
            <w:r>
              <w:rPr>
                <w:rFonts w:ascii="Garamond" w:hAnsi="Garamond"/>
                <w:b/>
                <w:bCs/>
                <w:sz w:val="28"/>
                <w:szCs w:val="28"/>
                <w:u w:val="single"/>
              </w:rPr>
              <w:lastRenderedPageBreak/>
              <w:t>G</w:t>
            </w:r>
            <w:r>
              <w:rPr>
                <w:rFonts w:ascii="Garamond" w:hAnsi="Garamond"/>
                <w:sz w:val="28"/>
                <w:szCs w:val="28"/>
              </w:rPr>
              <w:t>ender</w:t>
            </w:r>
          </w:p>
        </w:tc>
        <w:tc>
          <w:tcPr>
            <w:tcW w:w="5670" w:type="dxa"/>
            <w:vAlign w:val="center"/>
          </w:tcPr>
          <w:p w14:paraId="5808E3AA" w14:textId="134ED8C7" w:rsidR="00FF1661" w:rsidRPr="008732FE" w:rsidRDefault="00FF1661" w:rsidP="00430E13">
            <w:pPr>
              <w:rPr>
                <w:rFonts w:ascii="Garamond" w:hAnsi="Garamond"/>
              </w:rPr>
            </w:pPr>
            <w:r w:rsidRPr="40D44717">
              <w:rPr>
                <w:rFonts w:ascii="Garamond" w:hAnsi="Garamond"/>
              </w:rPr>
              <w:t>How does the student identify on the gender spectrum? For example: Male, female, transgender, intersex, and other gender non-conforming identities</w:t>
            </w:r>
          </w:p>
        </w:tc>
      </w:tr>
    </w:tbl>
    <w:p w14:paraId="0B5C1BD8" w14:textId="77777777" w:rsidR="00466A0D" w:rsidRPr="00097B27" w:rsidRDefault="00466A0D" w:rsidP="00097B27">
      <w:pPr>
        <w:rPr>
          <w:rFonts w:ascii="Garamond" w:hAnsi="Garamond"/>
          <w:sz w:val="28"/>
          <w:szCs w:val="28"/>
        </w:rPr>
      </w:pPr>
    </w:p>
    <w:p w14:paraId="02888561" w14:textId="11120F28" w:rsidR="40D44717" w:rsidRDefault="40D44717" w:rsidP="40D44717">
      <w:pPr>
        <w:rPr>
          <w:rFonts w:ascii="Garamond" w:hAnsi="Garamond"/>
          <w:sz w:val="28"/>
          <w:szCs w:val="28"/>
        </w:rPr>
      </w:pPr>
    </w:p>
    <w:p w14:paraId="17D9E968" w14:textId="6EF7E592" w:rsidR="40D44717" w:rsidRDefault="40D44717" w:rsidP="40D44717">
      <w:pPr>
        <w:rPr>
          <w:rFonts w:ascii="Garamond" w:hAnsi="Garamond"/>
          <w:sz w:val="28"/>
          <w:szCs w:val="28"/>
        </w:rPr>
      </w:pPr>
      <w:r w:rsidRPr="40D44717">
        <w:rPr>
          <w:rFonts w:ascii="Garamond" w:hAnsi="Garamond"/>
          <w:sz w:val="28"/>
          <w:szCs w:val="28"/>
        </w:rPr>
        <w:t>Resources:</w:t>
      </w:r>
    </w:p>
    <w:p w14:paraId="43E8E36A" w14:textId="450222AF" w:rsidR="40D44717" w:rsidRPr="00FF1661" w:rsidRDefault="00430E13" w:rsidP="40D44717">
      <w:pPr>
        <w:rPr>
          <w:rFonts w:ascii="Garamond" w:hAnsi="Garamond" w:cstheme="minorHAnsi"/>
          <w:sz w:val="28"/>
          <w:szCs w:val="28"/>
        </w:rPr>
      </w:pPr>
      <w:hyperlink r:id="rId6" w:history="1">
        <w:r w:rsidR="00FF1661" w:rsidRPr="00FF1661">
          <w:rPr>
            <w:rStyle w:val="Hyperlink"/>
            <w:rFonts w:ascii="Garamond" w:hAnsi="Garamond" w:cstheme="minorHAnsi"/>
            <w:sz w:val="28"/>
            <w:szCs w:val="28"/>
          </w:rPr>
          <w:t>http://wholeheartedschoolleadership.com/a-quick-introduction-to-culturally-responsive-teaching/</w:t>
        </w:r>
      </w:hyperlink>
    </w:p>
    <w:p w14:paraId="279461CC" w14:textId="77777777" w:rsidR="00FF1661" w:rsidRPr="00FF1661" w:rsidRDefault="00FF1661" w:rsidP="40D44717">
      <w:pPr>
        <w:rPr>
          <w:rFonts w:ascii="Garamond" w:hAnsi="Garamond" w:cstheme="minorHAnsi"/>
          <w:sz w:val="28"/>
          <w:szCs w:val="28"/>
        </w:rPr>
      </w:pPr>
    </w:p>
    <w:p w14:paraId="1D16595A" w14:textId="47558144" w:rsidR="00FF1661" w:rsidRPr="00FF1661" w:rsidRDefault="00430E13" w:rsidP="40D44717">
      <w:pPr>
        <w:rPr>
          <w:rFonts w:ascii="Garamond" w:hAnsi="Garamond" w:cstheme="minorHAnsi"/>
          <w:sz w:val="28"/>
          <w:szCs w:val="28"/>
        </w:rPr>
      </w:pPr>
      <w:hyperlink r:id="rId7" w:history="1">
        <w:r w:rsidR="00FF1661" w:rsidRPr="00FF1661">
          <w:rPr>
            <w:rStyle w:val="Hyperlink"/>
            <w:rFonts w:ascii="Garamond" w:hAnsi="Garamond" w:cstheme="minorHAnsi"/>
            <w:sz w:val="28"/>
            <w:szCs w:val="28"/>
          </w:rPr>
          <w:t>https://www.newamerica.org/education-policy/reports/culturally-responsive-teaching/teacher-competencies-that-promote-culturally-responsive-teaching/</w:t>
        </w:r>
      </w:hyperlink>
    </w:p>
    <w:p w14:paraId="56759B2B" w14:textId="77777777" w:rsidR="00FF1661" w:rsidRPr="00FF1661" w:rsidRDefault="00FF1661" w:rsidP="40D44717">
      <w:pPr>
        <w:rPr>
          <w:rFonts w:ascii="Garamond" w:hAnsi="Garamond" w:cstheme="minorHAnsi"/>
          <w:sz w:val="28"/>
          <w:szCs w:val="28"/>
        </w:rPr>
      </w:pPr>
    </w:p>
    <w:p w14:paraId="134F5539" w14:textId="218C19C1" w:rsidR="40D44717" w:rsidRPr="00FF1661" w:rsidRDefault="00430E13" w:rsidP="40D44717">
      <w:pPr>
        <w:rPr>
          <w:rFonts w:ascii="Garamond" w:hAnsi="Garamond" w:cstheme="minorHAnsi"/>
          <w:sz w:val="28"/>
          <w:szCs w:val="28"/>
        </w:rPr>
      </w:pPr>
      <w:hyperlink r:id="rId8">
        <w:r w:rsidR="40D44717" w:rsidRPr="00FF1661">
          <w:rPr>
            <w:rStyle w:val="Hyperlink"/>
            <w:rFonts w:ascii="Garamond" w:hAnsi="Garamond" w:cstheme="minorHAnsi"/>
            <w:sz w:val="28"/>
            <w:szCs w:val="28"/>
          </w:rPr>
          <w:t>https://www.apa.org/pubs/books/Addressing-Cultural-Complexities-in-Practice-Chapter-1-Sample.pdf</w:t>
        </w:r>
      </w:hyperlink>
    </w:p>
    <w:p w14:paraId="2CC319AE" w14:textId="631C7087" w:rsidR="40D44717" w:rsidRPr="00FF1661" w:rsidRDefault="40D44717" w:rsidP="40D44717">
      <w:pPr>
        <w:rPr>
          <w:rFonts w:ascii="Garamond" w:hAnsi="Garamond" w:cstheme="minorHAnsi"/>
          <w:sz w:val="28"/>
          <w:szCs w:val="28"/>
        </w:rPr>
      </w:pPr>
    </w:p>
    <w:p w14:paraId="50DE209F" w14:textId="7C691DAD" w:rsidR="40D44717" w:rsidRPr="00FF1661" w:rsidRDefault="00430E13" w:rsidP="40D44717">
      <w:pPr>
        <w:rPr>
          <w:rFonts w:ascii="Garamond" w:hAnsi="Garamond" w:cstheme="minorHAnsi"/>
          <w:sz w:val="28"/>
          <w:szCs w:val="28"/>
        </w:rPr>
      </w:pPr>
      <w:hyperlink r:id="rId9">
        <w:r w:rsidR="40D44717" w:rsidRPr="00FF1661">
          <w:rPr>
            <w:rStyle w:val="Hyperlink"/>
            <w:rFonts w:ascii="Garamond" w:hAnsi="Garamond" w:cstheme="minorHAnsi"/>
            <w:sz w:val="28"/>
            <w:szCs w:val="28"/>
          </w:rPr>
          <w:t>https://www.researchgate.net/publication/279155702_Multicultural_Counseling_Competence_Training_Adding_Value_With_Multicultural_Consultation/figures?lo=1</w:t>
        </w:r>
      </w:hyperlink>
    </w:p>
    <w:p w14:paraId="00FCA743" w14:textId="4FBC5CFD" w:rsidR="40D44717" w:rsidRDefault="40D44717" w:rsidP="40D44717">
      <w:pPr>
        <w:rPr>
          <w:rFonts w:ascii="Garamond" w:hAnsi="Garamond"/>
          <w:sz w:val="28"/>
          <w:szCs w:val="28"/>
        </w:rPr>
      </w:pPr>
    </w:p>
    <w:p w14:paraId="68B5507F" w14:textId="16D82ACE" w:rsidR="20753E0E" w:rsidRDefault="20753E0E" w:rsidP="20753E0E">
      <w:pPr>
        <w:rPr>
          <w:rFonts w:ascii="Garamond" w:hAnsi="Garamond"/>
          <w:sz w:val="28"/>
          <w:szCs w:val="28"/>
        </w:rPr>
      </w:pPr>
    </w:p>
    <w:p w14:paraId="71368D3F" w14:textId="46A4ADCF" w:rsidR="20753E0E" w:rsidRDefault="20753E0E" w:rsidP="20753E0E">
      <w:pPr>
        <w:rPr>
          <w:rFonts w:ascii="Garamond" w:hAnsi="Garamond"/>
          <w:sz w:val="28"/>
          <w:szCs w:val="28"/>
        </w:rPr>
      </w:pPr>
    </w:p>
    <w:p w14:paraId="0B07C3D3" w14:textId="39F388D6" w:rsidR="20753E0E" w:rsidRDefault="20753E0E" w:rsidP="20753E0E">
      <w:pPr>
        <w:rPr>
          <w:rFonts w:ascii="Garamond" w:hAnsi="Garamond"/>
          <w:sz w:val="28"/>
          <w:szCs w:val="28"/>
        </w:rPr>
      </w:pPr>
    </w:p>
    <w:p w14:paraId="179E63A2" w14:textId="1F380D79" w:rsidR="20753E0E" w:rsidRDefault="20753E0E" w:rsidP="20753E0E">
      <w:pPr>
        <w:rPr>
          <w:rFonts w:ascii="Garamond" w:hAnsi="Garamond"/>
          <w:sz w:val="28"/>
          <w:szCs w:val="28"/>
        </w:rPr>
      </w:pPr>
    </w:p>
    <w:p w14:paraId="34A735B6" w14:textId="68FAA367" w:rsidR="20753E0E" w:rsidRDefault="20753E0E" w:rsidP="20753E0E">
      <w:pPr>
        <w:rPr>
          <w:rFonts w:ascii="Garamond" w:hAnsi="Garamond"/>
          <w:sz w:val="28"/>
          <w:szCs w:val="28"/>
        </w:rPr>
      </w:pPr>
    </w:p>
    <w:p w14:paraId="341BAAD6" w14:textId="46D23F3E" w:rsidR="20753E0E" w:rsidRDefault="20753E0E" w:rsidP="20753E0E">
      <w:pPr>
        <w:rPr>
          <w:rFonts w:ascii="Garamond" w:hAnsi="Garamond"/>
          <w:sz w:val="28"/>
          <w:szCs w:val="28"/>
        </w:rPr>
      </w:pPr>
    </w:p>
    <w:p w14:paraId="5846F62D" w14:textId="70695BDD" w:rsidR="451F5626" w:rsidRPr="00FF1661" w:rsidRDefault="451F5626" w:rsidP="00FF1661">
      <w:pPr>
        <w:rPr>
          <w:rFonts w:eastAsiaTheme="minorEastAsia"/>
          <w:sz w:val="28"/>
          <w:szCs w:val="28"/>
        </w:rPr>
      </w:pPr>
    </w:p>
    <w:p w14:paraId="11CC87C4" w14:textId="60E5C6D0" w:rsidR="20753E0E" w:rsidRDefault="20753E0E" w:rsidP="20753E0E">
      <w:pPr>
        <w:rPr>
          <w:rFonts w:ascii="Garamond" w:hAnsi="Garamond"/>
          <w:sz w:val="28"/>
          <w:szCs w:val="28"/>
        </w:rPr>
      </w:pPr>
    </w:p>
    <w:p w14:paraId="7E622444" w14:textId="5FAFDC01" w:rsidR="40D44717" w:rsidRDefault="40D44717" w:rsidP="451F5626">
      <w:pPr>
        <w:pStyle w:val="ListParagraph"/>
        <w:rPr>
          <w:rFonts w:ascii="Garamond" w:hAnsi="Garamond"/>
          <w:sz w:val="28"/>
          <w:szCs w:val="28"/>
        </w:rPr>
      </w:pPr>
    </w:p>
    <w:sectPr w:rsidR="40D44717" w:rsidSect="00C8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273C"/>
    <w:multiLevelType w:val="hybridMultilevel"/>
    <w:tmpl w:val="B9E04A5E"/>
    <w:lvl w:ilvl="0" w:tplc="04090001">
      <w:start w:val="1"/>
      <w:numFmt w:val="bullet"/>
      <w:lvlText w:val=""/>
      <w:lvlJc w:val="left"/>
      <w:pPr>
        <w:ind w:left="1800" w:hanging="360"/>
      </w:pPr>
      <w:rPr>
        <w:rFonts w:ascii="Symbol" w:hAnsi="Symbol" w:hint="default"/>
      </w:rPr>
    </w:lvl>
    <w:lvl w:ilvl="1" w:tplc="DC28743A">
      <w:start w:val="1"/>
      <w:numFmt w:val="bullet"/>
      <w:lvlText w:val=""/>
      <w:lvlJc w:val="left"/>
      <w:pPr>
        <w:ind w:left="2520" w:hanging="360"/>
      </w:pPr>
      <w:rPr>
        <w:rFonts w:ascii="Symbol" w:hAnsi="Symbol" w:hint="default"/>
      </w:rPr>
    </w:lvl>
    <w:lvl w:ilvl="2" w:tplc="303E20E8">
      <w:start w:val="1"/>
      <w:numFmt w:val="lowerRoman"/>
      <w:lvlText w:val="%3."/>
      <w:lvlJc w:val="right"/>
      <w:pPr>
        <w:ind w:left="3240" w:hanging="180"/>
      </w:pPr>
    </w:lvl>
    <w:lvl w:ilvl="3" w:tplc="A81CABF4">
      <w:start w:val="1"/>
      <w:numFmt w:val="decimal"/>
      <w:lvlText w:val="%4."/>
      <w:lvlJc w:val="left"/>
      <w:pPr>
        <w:ind w:left="3960" w:hanging="360"/>
      </w:pPr>
    </w:lvl>
    <w:lvl w:ilvl="4" w:tplc="2E5AB3AE">
      <w:start w:val="1"/>
      <w:numFmt w:val="lowerLetter"/>
      <w:lvlText w:val="%5."/>
      <w:lvlJc w:val="left"/>
      <w:pPr>
        <w:ind w:left="4680" w:hanging="360"/>
      </w:pPr>
    </w:lvl>
    <w:lvl w:ilvl="5" w:tplc="C584D6DE">
      <w:start w:val="1"/>
      <w:numFmt w:val="lowerRoman"/>
      <w:lvlText w:val="%6."/>
      <w:lvlJc w:val="right"/>
      <w:pPr>
        <w:ind w:left="5400" w:hanging="180"/>
      </w:pPr>
    </w:lvl>
    <w:lvl w:ilvl="6" w:tplc="A18290B2">
      <w:start w:val="1"/>
      <w:numFmt w:val="decimal"/>
      <w:lvlText w:val="%7."/>
      <w:lvlJc w:val="left"/>
      <w:pPr>
        <w:ind w:left="6120" w:hanging="360"/>
      </w:pPr>
    </w:lvl>
    <w:lvl w:ilvl="7" w:tplc="81B698E2">
      <w:start w:val="1"/>
      <w:numFmt w:val="lowerLetter"/>
      <w:lvlText w:val="%8."/>
      <w:lvlJc w:val="left"/>
      <w:pPr>
        <w:ind w:left="6840" w:hanging="360"/>
      </w:pPr>
    </w:lvl>
    <w:lvl w:ilvl="8" w:tplc="7BFE4DBE">
      <w:start w:val="1"/>
      <w:numFmt w:val="lowerRoman"/>
      <w:lvlText w:val="%9."/>
      <w:lvlJc w:val="right"/>
      <w:pPr>
        <w:ind w:left="7560" w:hanging="180"/>
      </w:pPr>
    </w:lvl>
  </w:abstractNum>
  <w:abstractNum w:abstractNumId="1" w15:restartNumberingAfterBreak="0">
    <w:nsid w:val="30C126FC"/>
    <w:multiLevelType w:val="hybridMultilevel"/>
    <w:tmpl w:val="A1A4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C4B11"/>
    <w:multiLevelType w:val="hybridMultilevel"/>
    <w:tmpl w:val="234473DE"/>
    <w:lvl w:ilvl="0" w:tplc="7E7E388C">
      <w:start w:val="1"/>
      <w:numFmt w:val="decimal"/>
      <w:lvlText w:val="%1."/>
      <w:lvlJc w:val="left"/>
      <w:pPr>
        <w:ind w:left="720" w:hanging="360"/>
      </w:pPr>
    </w:lvl>
    <w:lvl w:ilvl="1" w:tplc="DC28743A">
      <w:start w:val="1"/>
      <w:numFmt w:val="bullet"/>
      <w:lvlText w:val=""/>
      <w:lvlJc w:val="left"/>
      <w:pPr>
        <w:ind w:left="1440" w:hanging="360"/>
      </w:pPr>
      <w:rPr>
        <w:rFonts w:ascii="Symbol" w:hAnsi="Symbol" w:hint="default"/>
      </w:rPr>
    </w:lvl>
    <w:lvl w:ilvl="2" w:tplc="303E20E8">
      <w:start w:val="1"/>
      <w:numFmt w:val="lowerRoman"/>
      <w:lvlText w:val="%3."/>
      <w:lvlJc w:val="right"/>
      <w:pPr>
        <w:ind w:left="2160" w:hanging="180"/>
      </w:pPr>
    </w:lvl>
    <w:lvl w:ilvl="3" w:tplc="A81CABF4">
      <w:start w:val="1"/>
      <w:numFmt w:val="decimal"/>
      <w:lvlText w:val="%4."/>
      <w:lvlJc w:val="left"/>
      <w:pPr>
        <w:ind w:left="2880" w:hanging="360"/>
      </w:pPr>
    </w:lvl>
    <w:lvl w:ilvl="4" w:tplc="2E5AB3AE">
      <w:start w:val="1"/>
      <w:numFmt w:val="lowerLetter"/>
      <w:lvlText w:val="%5."/>
      <w:lvlJc w:val="left"/>
      <w:pPr>
        <w:ind w:left="3600" w:hanging="360"/>
      </w:pPr>
    </w:lvl>
    <w:lvl w:ilvl="5" w:tplc="C584D6DE">
      <w:start w:val="1"/>
      <w:numFmt w:val="lowerRoman"/>
      <w:lvlText w:val="%6."/>
      <w:lvlJc w:val="right"/>
      <w:pPr>
        <w:ind w:left="4320" w:hanging="180"/>
      </w:pPr>
    </w:lvl>
    <w:lvl w:ilvl="6" w:tplc="A18290B2">
      <w:start w:val="1"/>
      <w:numFmt w:val="decimal"/>
      <w:lvlText w:val="%7."/>
      <w:lvlJc w:val="left"/>
      <w:pPr>
        <w:ind w:left="5040" w:hanging="360"/>
      </w:pPr>
    </w:lvl>
    <w:lvl w:ilvl="7" w:tplc="81B698E2">
      <w:start w:val="1"/>
      <w:numFmt w:val="lowerLetter"/>
      <w:lvlText w:val="%8."/>
      <w:lvlJc w:val="left"/>
      <w:pPr>
        <w:ind w:left="5760" w:hanging="360"/>
      </w:pPr>
    </w:lvl>
    <w:lvl w:ilvl="8" w:tplc="7BFE4DBE">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27"/>
    <w:rsid w:val="00097B27"/>
    <w:rsid w:val="000B764D"/>
    <w:rsid w:val="00182423"/>
    <w:rsid w:val="0019622D"/>
    <w:rsid w:val="003600DF"/>
    <w:rsid w:val="003C0615"/>
    <w:rsid w:val="00430E13"/>
    <w:rsid w:val="00466A0D"/>
    <w:rsid w:val="00474122"/>
    <w:rsid w:val="00493BAC"/>
    <w:rsid w:val="006A20DB"/>
    <w:rsid w:val="006A55B2"/>
    <w:rsid w:val="00772CFA"/>
    <w:rsid w:val="00806FDB"/>
    <w:rsid w:val="008732FE"/>
    <w:rsid w:val="00875AE6"/>
    <w:rsid w:val="00881459"/>
    <w:rsid w:val="00C81865"/>
    <w:rsid w:val="00DA5818"/>
    <w:rsid w:val="00DC1F3B"/>
    <w:rsid w:val="00EC3FB9"/>
    <w:rsid w:val="00EC4E08"/>
    <w:rsid w:val="00F36AD9"/>
    <w:rsid w:val="00FF1661"/>
    <w:rsid w:val="05F01A2D"/>
    <w:rsid w:val="20753E0E"/>
    <w:rsid w:val="3617F9F4"/>
    <w:rsid w:val="40D44717"/>
    <w:rsid w:val="451F5626"/>
    <w:rsid w:val="6D40C11A"/>
    <w:rsid w:val="79E7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A2FD"/>
  <w14:defaultImageDpi w14:val="32767"/>
  <w15:chartTrackingRefBased/>
  <w15:docId w15:val="{44588E49-E613-084F-A5AF-0D669C0C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7B27"/>
    <w:rPr>
      <w:rFonts w:ascii="Times New Roman" w:hAnsi="Times New Roman" w:cs="Times New Roman"/>
      <w:sz w:val="18"/>
      <w:szCs w:val="18"/>
    </w:rPr>
  </w:style>
  <w:style w:type="table" w:styleId="TableGrid">
    <w:name w:val="Table Grid"/>
    <w:basedOn w:val="TableNormal"/>
    <w:uiPriority w:val="39"/>
    <w:rsid w:val="0046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32FE"/>
    <w:rPr>
      <w:sz w:val="16"/>
      <w:szCs w:val="16"/>
    </w:rPr>
  </w:style>
  <w:style w:type="paragraph" w:styleId="CommentText">
    <w:name w:val="annotation text"/>
    <w:basedOn w:val="Normal"/>
    <w:link w:val="CommentTextChar"/>
    <w:uiPriority w:val="99"/>
    <w:semiHidden/>
    <w:unhideWhenUsed/>
    <w:rsid w:val="008732FE"/>
    <w:rPr>
      <w:sz w:val="20"/>
      <w:szCs w:val="20"/>
    </w:rPr>
  </w:style>
  <w:style w:type="character" w:customStyle="1" w:styleId="CommentTextChar">
    <w:name w:val="Comment Text Char"/>
    <w:basedOn w:val="DefaultParagraphFont"/>
    <w:link w:val="CommentText"/>
    <w:uiPriority w:val="99"/>
    <w:semiHidden/>
    <w:rsid w:val="008732FE"/>
    <w:rPr>
      <w:sz w:val="20"/>
      <w:szCs w:val="20"/>
    </w:rPr>
  </w:style>
  <w:style w:type="paragraph" w:styleId="CommentSubject">
    <w:name w:val="annotation subject"/>
    <w:basedOn w:val="CommentText"/>
    <w:next w:val="CommentText"/>
    <w:link w:val="CommentSubjectChar"/>
    <w:uiPriority w:val="99"/>
    <w:semiHidden/>
    <w:unhideWhenUsed/>
    <w:rsid w:val="008732FE"/>
    <w:rPr>
      <w:b/>
      <w:bCs/>
    </w:rPr>
  </w:style>
  <w:style w:type="character" w:customStyle="1" w:styleId="CommentSubjectChar">
    <w:name w:val="Comment Subject Char"/>
    <w:basedOn w:val="CommentTextChar"/>
    <w:link w:val="CommentSubject"/>
    <w:uiPriority w:val="99"/>
    <w:semiHidden/>
    <w:rsid w:val="008732FE"/>
    <w:rPr>
      <w:b/>
      <w:bCs/>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rsid w:val="00FF1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pubs/books/Addressing-Cultural-Complexities-in-Practice-Chapter-1-Sample.pdf" TargetMode="External"/><Relationship Id="rId3" Type="http://schemas.openxmlformats.org/officeDocument/2006/relationships/settings" Target="settings.xml"/><Relationship Id="rId7" Type="http://schemas.openxmlformats.org/officeDocument/2006/relationships/hyperlink" Target="https://www.newamerica.org/education-policy/reports/culturally-responsive-teaching/teacher-competencies-that-promote-culturally-responsive-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oleheartedschoolleadership.com/a-quick-introduction-to-culturally-responsive-teaching/" TargetMode="External"/><Relationship Id="rId11" Type="http://schemas.openxmlformats.org/officeDocument/2006/relationships/theme" Target="theme/theme1.xml"/><Relationship Id="rId5" Type="http://schemas.openxmlformats.org/officeDocument/2006/relationships/hyperlink" Target="https://static1.squarespace.com/static/57752cbed1758e541bdeef6b/t/57927c2b414fb54f6682d70a/1469217835841/Diversity%2BManagement%2BPla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ublication/279155702_Multicultural_Counseling_Competence_Training_Adding_Value_With_Multicultural_Consultation/figures?l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Picard</dc:creator>
  <cp:keywords/>
  <dc:description/>
  <cp:lastModifiedBy>Microsoft Office User</cp:lastModifiedBy>
  <cp:revision>3</cp:revision>
  <dcterms:created xsi:type="dcterms:W3CDTF">2021-02-02T16:45:00Z</dcterms:created>
  <dcterms:modified xsi:type="dcterms:W3CDTF">2021-02-02T16:48:00Z</dcterms:modified>
</cp:coreProperties>
</file>