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C19" w14:textId="666ABC60" w:rsidR="356C4CE4" w:rsidRPr="003E440C" w:rsidRDefault="2A48D4DC" w:rsidP="356C4CE4">
      <w:pPr>
        <w:jc w:val="center"/>
        <w:rPr>
          <w:rFonts w:ascii="Atkinson Hyperlegible" w:hAnsi="Atkinson Hyperlegible"/>
        </w:rPr>
      </w:pPr>
      <w:r w:rsidRPr="003E440C">
        <w:rPr>
          <w:rFonts w:ascii="Atkinson Hyperlegible" w:hAnsi="Atkinson Hyperlegible"/>
          <w:b/>
          <w:bCs/>
        </w:rPr>
        <w:t>Accommodations and Supports in Postsecondary Education</w:t>
      </w:r>
    </w:p>
    <w:p w14:paraId="45476E60" w14:textId="7D4A5BB3" w:rsidR="356C4CE4" w:rsidRPr="003E440C" w:rsidRDefault="356C4CE4">
      <w:pPr>
        <w:rPr>
          <w:rFonts w:ascii="Atkinson Hyperlegible" w:hAnsi="Atkinson Hyperlegible"/>
        </w:rPr>
      </w:pPr>
    </w:p>
    <w:p w14:paraId="040F960F" w14:textId="5B56D45F" w:rsidR="584B2327" w:rsidRPr="003E440C" w:rsidRDefault="4E515C94" w:rsidP="584B2327">
      <w:pPr>
        <w:rPr>
          <w:rFonts w:ascii="Atkinson Hyperlegible" w:hAnsi="Atkinson Hyperlegible"/>
        </w:rPr>
      </w:pPr>
      <w:r w:rsidRPr="4E515C94">
        <w:rPr>
          <w:rFonts w:ascii="Atkinson Hyperlegible" w:hAnsi="Atkinson Hyperlegible"/>
        </w:rPr>
        <w:t xml:space="preserve">If students want to receive accommodations, they will have to disclose their disability to the disability services office. Accommodations are determined on an individual basis. Each postsecondary education </w:t>
      </w:r>
      <w:r w:rsidR="0093469A">
        <w:rPr>
          <w:rFonts w:ascii="Atkinson Hyperlegible" w:hAnsi="Atkinson Hyperlegible"/>
        </w:rPr>
        <w:t>program</w:t>
      </w:r>
      <w:r w:rsidRPr="4E515C94">
        <w:rPr>
          <w:rFonts w:ascii="Atkinson Hyperlegible" w:hAnsi="Atkinson Hyperlegible"/>
        </w:rPr>
        <w:t xml:space="preserve"> may offer accommodations and services</w:t>
      </w:r>
      <w:r w:rsidR="0093469A">
        <w:rPr>
          <w:rFonts w:ascii="Atkinson Hyperlegible" w:hAnsi="Atkinson Hyperlegible"/>
        </w:rPr>
        <w:t xml:space="preserve"> in different ways</w:t>
      </w:r>
      <w:r w:rsidRPr="4E515C94">
        <w:rPr>
          <w:rFonts w:ascii="Atkinson Hyperlegible" w:hAnsi="Atkinson Hyperlegible"/>
        </w:rPr>
        <w:t>. It is important to contact the specific school to learn more about what they offer.</w:t>
      </w:r>
      <w:r w:rsidR="0093469A">
        <w:rPr>
          <w:rFonts w:ascii="Atkinson Hyperlegible" w:hAnsi="Atkinson Hyperlegible"/>
        </w:rPr>
        <w:t xml:space="preserve"> </w:t>
      </w:r>
    </w:p>
    <w:p w14:paraId="24BD03CE" w14:textId="5B3A3C2A" w:rsidR="584B2327" w:rsidRPr="003E440C" w:rsidRDefault="584B2327" w:rsidP="2A48D4DC">
      <w:pPr>
        <w:rPr>
          <w:rFonts w:ascii="Atkinson Hyperlegible" w:hAnsi="Atkinson Hyperlegible"/>
        </w:rPr>
      </w:pPr>
    </w:p>
    <w:p w14:paraId="53661369" w14:textId="793F38A5" w:rsidR="584B2327" w:rsidRPr="003E440C" w:rsidRDefault="56799FD8" w:rsidP="584B2327">
      <w:p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Common Accommodations:</w:t>
      </w:r>
    </w:p>
    <w:p w14:paraId="415FD89C" w14:textId="721F7DB0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Access to voice recognition software and text to speech programs</w:t>
      </w:r>
    </w:p>
    <w:p w14:paraId="386F95E1" w14:textId="2F75C58A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Assistive listening devices</w:t>
      </w:r>
    </w:p>
    <w:p w14:paraId="673A3DDE" w14:textId="072768BA" w:rsidR="584B2327" w:rsidRPr="003E440C" w:rsidRDefault="4E515C94" w:rsidP="584B2327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4E515C94">
        <w:rPr>
          <w:rFonts w:ascii="Atkinson Hyperlegible" w:hAnsi="Atkinson Hyperlegible"/>
        </w:rPr>
        <w:t>Exam/test modifications which can include extended time, readers, scribes, proctors, and testing in a room with limited distractions</w:t>
      </w:r>
    </w:p>
    <w:p w14:paraId="78EFF4BC" w14:textId="4D4532E4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Extended time on coursework</w:t>
      </w:r>
    </w:p>
    <w:p w14:paraId="35F8BA10" w14:textId="13626804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Interpreters</w:t>
      </w:r>
    </w:p>
    <w:p w14:paraId="42F41899" w14:textId="1580E14D" w:rsidR="584B2327" w:rsidRPr="003E440C" w:rsidRDefault="001777BC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Notetakers</w:t>
      </w:r>
      <w:r w:rsidR="584B2327" w:rsidRPr="003E440C">
        <w:rPr>
          <w:rFonts w:ascii="Atkinson Hyperlegible" w:hAnsi="Atkinson Hyperlegible"/>
        </w:rPr>
        <w:t xml:space="preserve"> or scribes</w:t>
      </w:r>
    </w:p>
    <w:p w14:paraId="5C091883" w14:textId="71FFC139" w:rsidR="584B2327" w:rsidRPr="003E440C" w:rsidRDefault="4DC2260A" w:rsidP="584B2327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Audio recordings of classes</w:t>
      </w:r>
    </w:p>
    <w:p w14:paraId="4BB61A6A" w14:textId="4E941AC2" w:rsidR="584B2327" w:rsidRPr="003E440C" w:rsidRDefault="356C4CE4" w:rsidP="356C4CE4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Priority registration</w:t>
      </w:r>
    </w:p>
    <w:p w14:paraId="157354B4" w14:textId="6F029548" w:rsidR="584B2327" w:rsidRPr="003E440C" w:rsidRDefault="56799FD8" w:rsidP="56799FD8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Copy of lecture notes</w:t>
      </w:r>
    </w:p>
    <w:p w14:paraId="7A4DD71D" w14:textId="4F2E70EC" w:rsidR="584B2327" w:rsidRPr="003E440C" w:rsidRDefault="56799FD8" w:rsidP="584B2327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Designated classroom seating</w:t>
      </w:r>
    </w:p>
    <w:p w14:paraId="71D59572" w14:textId="63D531DC" w:rsidR="584B2327" w:rsidRPr="003E440C" w:rsidRDefault="56799FD8" w:rsidP="584B2327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Special housing arrangements</w:t>
      </w:r>
    </w:p>
    <w:p w14:paraId="7781BD0A" w14:textId="1C60DCEC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Transcripts or captions of online lectures</w:t>
      </w:r>
    </w:p>
    <w:p w14:paraId="290B39E0" w14:textId="7F8B914A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Use of laptops for tests and exams</w:t>
      </w:r>
    </w:p>
    <w:p w14:paraId="41D80285" w14:textId="6612DF8D" w:rsidR="584B2327" w:rsidRPr="003E440C" w:rsidRDefault="584B2327" w:rsidP="584B2327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Written materials in alternate formats such as large print or braille</w:t>
      </w:r>
    </w:p>
    <w:p w14:paraId="597F7A0A" w14:textId="519A90BB" w:rsidR="584B2327" w:rsidRPr="003E440C" w:rsidRDefault="584B2327" w:rsidP="584B2327">
      <w:pPr>
        <w:rPr>
          <w:rFonts w:ascii="Atkinson Hyperlegible" w:hAnsi="Atkinson Hyperlegible"/>
        </w:rPr>
      </w:pPr>
    </w:p>
    <w:p w14:paraId="57DCDC59" w14:textId="577388CB" w:rsidR="00145B62" w:rsidRPr="003E440C" w:rsidRDefault="2A48D4DC" w:rsidP="584B2327">
      <w:p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 xml:space="preserve">Postsecondary </w:t>
      </w:r>
      <w:r w:rsidR="0093469A">
        <w:rPr>
          <w:rFonts w:ascii="Atkinson Hyperlegible" w:hAnsi="Atkinson Hyperlegible"/>
        </w:rPr>
        <w:t>education programs</w:t>
      </w:r>
      <w:r w:rsidRPr="003E440C">
        <w:rPr>
          <w:rFonts w:ascii="Atkinson Hyperlegible" w:hAnsi="Atkinson Hyperlegible"/>
        </w:rPr>
        <w:t xml:space="preserve"> may also offer various supports to students that do not require them to be eligible for disability services. </w:t>
      </w:r>
    </w:p>
    <w:p w14:paraId="30AC015D" w14:textId="42389AAE" w:rsidR="00145B62" w:rsidRPr="003E440C" w:rsidRDefault="00145B62" w:rsidP="584B2327">
      <w:pPr>
        <w:rPr>
          <w:rFonts w:ascii="Atkinson Hyperlegible" w:hAnsi="Atkinson Hyperlegible"/>
        </w:rPr>
      </w:pPr>
    </w:p>
    <w:p w14:paraId="42B0E599" w14:textId="096CF7B3" w:rsidR="584B2327" w:rsidRPr="003E440C" w:rsidRDefault="2A48D4DC" w:rsidP="584B2327">
      <w:p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Common Supports:</w:t>
      </w:r>
    </w:p>
    <w:p w14:paraId="3ABA4F98" w14:textId="28397912" w:rsidR="584B2327" w:rsidRPr="003E440C" w:rsidRDefault="2A48D4DC" w:rsidP="2A48D4DC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Academic support programs provide services that help students increase academic abilities/skills and provide additional support</w:t>
      </w:r>
    </w:p>
    <w:p w14:paraId="47704A2C" w14:textId="0F02CB55" w:rsidR="584B2327" w:rsidRPr="003E440C" w:rsidRDefault="2A48D4DC" w:rsidP="584B2327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 xml:space="preserve">Coaching programs involve an individual who meets with the student to help support </w:t>
      </w:r>
      <w:r w:rsidR="0093469A">
        <w:rPr>
          <w:rFonts w:ascii="Atkinson Hyperlegible" w:hAnsi="Atkinson Hyperlegible"/>
        </w:rPr>
        <w:t>them</w:t>
      </w:r>
      <w:r w:rsidRPr="003E440C">
        <w:rPr>
          <w:rFonts w:ascii="Atkinson Hyperlegible" w:hAnsi="Atkinson Hyperlegible"/>
        </w:rPr>
        <w:t xml:space="preserve"> during the semester</w:t>
      </w:r>
    </w:p>
    <w:p w14:paraId="72F58710" w14:textId="4196E252" w:rsidR="584B2327" w:rsidRPr="003E440C" w:rsidRDefault="2A48D4DC" w:rsidP="2A48D4DC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Counseling involves students attending sessions with a professional counselor to help resolve personal, social, or psychological concerns</w:t>
      </w:r>
    </w:p>
    <w:p w14:paraId="5A91C1C7" w14:textId="02329DF6" w:rsidR="584B2327" w:rsidRPr="003E440C" w:rsidRDefault="2A48D4DC" w:rsidP="584B2327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Peer mentoring programs provide a peer who meets with a student in need of academic or personal mentoring and support throughout the semester</w:t>
      </w:r>
    </w:p>
    <w:p w14:paraId="59C7B9C5" w14:textId="36F41555" w:rsidR="584B2327" w:rsidRPr="003E440C" w:rsidRDefault="2A48D4DC" w:rsidP="584B2327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Student organizations include groups, clubs, or organizations where students come together based upon common interests</w:t>
      </w:r>
    </w:p>
    <w:p w14:paraId="27F9FC05" w14:textId="3A486488" w:rsidR="584B2327" w:rsidRPr="003E440C" w:rsidRDefault="2A48D4DC" w:rsidP="584B2327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3E440C">
        <w:rPr>
          <w:rFonts w:ascii="Atkinson Hyperlegible" w:hAnsi="Atkinson Hyperlegible"/>
        </w:rPr>
        <w:t>Study groups may be informal or structured and provide a time for students to meet to study or work together on assignments</w:t>
      </w:r>
    </w:p>
    <w:p w14:paraId="0220336F" w14:textId="6B91BF74" w:rsidR="584B2327" w:rsidRPr="003E440C" w:rsidRDefault="2A48D4DC" w:rsidP="2A48D4DC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 w:rsidRPr="003E440C">
        <w:rPr>
          <w:rFonts w:ascii="Atkinson Hyperlegible" w:hAnsi="Atkinson Hyperlegible"/>
        </w:rPr>
        <w:t>Tutoring services provide an individual who gives one-on-one support on an academic subject</w:t>
      </w:r>
    </w:p>
    <w:p w14:paraId="51721104" w14:textId="0686521E" w:rsidR="584B2327" w:rsidRPr="003E440C" w:rsidRDefault="584B2327" w:rsidP="584B2327">
      <w:pPr>
        <w:rPr>
          <w:rFonts w:ascii="Atkinson Hyperlegible" w:hAnsi="Atkinson Hyperlegible"/>
        </w:rPr>
      </w:pPr>
    </w:p>
    <w:sectPr w:rsidR="584B2327" w:rsidRPr="003E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DF"/>
    <w:multiLevelType w:val="hybridMultilevel"/>
    <w:tmpl w:val="44BC41DC"/>
    <w:lvl w:ilvl="0" w:tplc="1DA2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2F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E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C8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F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24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C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086D"/>
    <w:multiLevelType w:val="hybridMultilevel"/>
    <w:tmpl w:val="D2A8F450"/>
    <w:lvl w:ilvl="0" w:tplc="54B64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A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8F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63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A5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3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9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7F"/>
    <w:rsid w:val="000338D6"/>
    <w:rsid w:val="00145B62"/>
    <w:rsid w:val="001777BC"/>
    <w:rsid w:val="003368C9"/>
    <w:rsid w:val="003C6755"/>
    <w:rsid w:val="003E440C"/>
    <w:rsid w:val="004E242F"/>
    <w:rsid w:val="00744C90"/>
    <w:rsid w:val="007B53FC"/>
    <w:rsid w:val="0090667F"/>
    <w:rsid w:val="009324D0"/>
    <w:rsid w:val="0093469A"/>
    <w:rsid w:val="00B20313"/>
    <w:rsid w:val="00DA00CD"/>
    <w:rsid w:val="00DF1AC4"/>
    <w:rsid w:val="00EE0CBB"/>
    <w:rsid w:val="00F853F8"/>
    <w:rsid w:val="04414F21"/>
    <w:rsid w:val="1C9FCDD6"/>
    <w:rsid w:val="1CFD7C4C"/>
    <w:rsid w:val="257B96D5"/>
    <w:rsid w:val="2A48D4DC"/>
    <w:rsid w:val="2C96FD40"/>
    <w:rsid w:val="356C4CE4"/>
    <w:rsid w:val="4DC2260A"/>
    <w:rsid w:val="4E515C94"/>
    <w:rsid w:val="56799FD8"/>
    <w:rsid w:val="584B2327"/>
    <w:rsid w:val="5B5858C1"/>
    <w:rsid w:val="5E5A5E39"/>
    <w:rsid w:val="684C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BEBC"/>
  <w15:chartTrackingRefBased/>
  <w15:docId w15:val="{5B318080-3AD6-7446-A1AB-5CFD5FF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2773DB-2DC5-6343-AD21-DE7F4C6065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7" ma:contentTypeDescription="Create a new document." ma:contentTypeScope="" ma:versionID="e9397df06d535b46f5fef06fd2516e3e">
  <xsd:schema xmlns:xsd="http://www.w3.org/2001/XMLSchema" xmlns:xs="http://www.w3.org/2001/XMLSchema" xmlns:p="http://schemas.microsoft.com/office/2006/metadata/properties" xmlns:ns2="6c60e7f8-e1a5-44f4-b562-a5e5297248f0" targetNamespace="http://schemas.microsoft.com/office/2006/metadata/properties" ma:root="true" ma:fieldsID="db5d0e2f0cf1624d1a8ccd4f68a4f9b1" ns2:_="">
    <xsd:import namespace="6c60e7f8-e1a5-44f4-b562-a5e529724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BE26E-F8BF-44E0-AE79-079DAACD8634}"/>
</file>

<file path=customXml/itemProps2.xml><?xml version="1.0" encoding="utf-8"?>
<ds:datastoreItem xmlns:ds="http://schemas.openxmlformats.org/officeDocument/2006/customXml" ds:itemID="{97E7AC05-6114-4E1F-B382-EB9841B1AB37}"/>
</file>

<file path=customXml/itemProps3.xml><?xml version="1.0" encoding="utf-8"?>
<ds:datastoreItem xmlns:ds="http://schemas.openxmlformats.org/officeDocument/2006/customXml" ds:itemID="{93AC5B95-2C12-423A-BB66-813A20A02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Hope E</dc:creator>
  <cp:keywords/>
  <dc:description/>
  <cp:lastModifiedBy>Armstrong, Hope E</cp:lastModifiedBy>
  <cp:revision>2</cp:revision>
  <dcterms:created xsi:type="dcterms:W3CDTF">2022-03-07T21:27:00Z</dcterms:created>
  <dcterms:modified xsi:type="dcterms:W3CDTF">2022-03-07T21:27:00Z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documentId_9357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