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8B25" w14:textId="3331B937" w:rsidR="1B265E31" w:rsidRPr="00FC646D" w:rsidRDefault="4762EF74" w:rsidP="1B265E31">
      <w:pPr>
        <w:jc w:val="center"/>
        <w:rPr>
          <w:rFonts w:ascii="Atkinson Hyperlegible" w:eastAsia="Times New Roman" w:hAnsi="Atkinson Hyperlegible" w:cs="Times New Roman"/>
          <w:b/>
          <w:bCs/>
          <w:color w:val="000000" w:themeColor="text1"/>
          <w:sz w:val="24"/>
          <w:szCs w:val="24"/>
        </w:rPr>
      </w:pPr>
      <w:r w:rsidRPr="00FC646D">
        <w:rPr>
          <w:rFonts w:ascii="Atkinson Hyperlegible" w:eastAsia="Times New Roman" w:hAnsi="Atkinson Hyperlegible" w:cs="Times New Roman"/>
          <w:b/>
          <w:bCs/>
          <w:color w:val="000000" w:themeColor="text1"/>
          <w:sz w:val="24"/>
          <w:szCs w:val="24"/>
        </w:rPr>
        <w:t xml:space="preserve">STARS, Full Spectrum, </w:t>
      </w:r>
      <w:r w:rsidR="00D01094">
        <w:rPr>
          <w:rFonts w:ascii="Atkinson Hyperlegible" w:eastAsia="Times New Roman" w:hAnsi="Atkinson Hyperlegible" w:cs="Times New Roman"/>
          <w:b/>
          <w:bCs/>
          <w:color w:val="000000" w:themeColor="text1"/>
          <w:sz w:val="24"/>
          <w:szCs w:val="24"/>
        </w:rPr>
        <w:t xml:space="preserve">PASS, </w:t>
      </w:r>
      <w:r w:rsidRPr="00FC646D">
        <w:rPr>
          <w:rFonts w:ascii="Atkinson Hyperlegible" w:eastAsia="Times New Roman" w:hAnsi="Atkinson Hyperlegible" w:cs="Times New Roman"/>
          <w:b/>
          <w:bCs/>
          <w:color w:val="000000" w:themeColor="text1"/>
          <w:sz w:val="24"/>
          <w:szCs w:val="24"/>
        </w:rPr>
        <w:t xml:space="preserve">and </w:t>
      </w:r>
      <w:proofErr w:type="spellStart"/>
      <w:r w:rsidRPr="00FC646D">
        <w:rPr>
          <w:rFonts w:ascii="Atkinson Hyperlegible" w:eastAsia="Times New Roman" w:hAnsi="Atkinson Hyperlegible" w:cs="Times New Roman"/>
          <w:b/>
          <w:bCs/>
          <w:color w:val="000000" w:themeColor="text1"/>
          <w:sz w:val="24"/>
          <w:szCs w:val="24"/>
        </w:rPr>
        <w:t>Mosiac</w:t>
      </w:r>
      <w:proofErr w:type="spellEnd"/>
      <w:r w:rsidRPr="00FC646D">
        <w:rPr>
          <w:rFonts w:ascii="Atkinson Hyperlegible" w:eastAsia="Times New Roman" w:hAnsi="Atkinson Hyperlegible" w:cs="Times New Roman"/>
          <w:b/>
          <w:bCs/>
          <w:color w:val="000000" w:themeColor="text1"/>
          <w:sz w:val="24"/>
          <w:szCs w:val="24"/>
        </w:rPr>
        <w:t xml:space="preserve"> Programs</w:t>
      </w:r>
    </w:p>
    <w:p w14:paraId="7CE8CE74" w14:textId="33FB8179" w:rsidR="49AA0D0E" w:rsidRPr="00FC646D" w:rsidRDefault="48B271A5" w:rsidP="49AA0D0E">
      <w:pPr>
        <w:rPr>
          <w:rFonts w:ascii="Atkinson Hyperlegible" w:eastAsia="Times New Roman" w:hAnsi="Atkinson Hyperlegible" w:cs="Times New Roman"/>
          <w:color w:val="000000" w:themeColor="text1"/>
          <w:sz w:val="24"/>
          <w:szCs w:val="24"/>
        </w:rPr>
      </w:pPr>
      <w:r w:rsidRPr="00FC646D">
        <w:rPr>
          <w:rFonts w:ascii="Atkinson Hyperlegible" w:eastAsia="Times New Roman" w:hAnsi="Atkinson Hyperlegible" w:cs="Times New Roman"/>
          <w:color w:val="000000" w:themeColor="text1"/>
          <w:sz w:val="24"/>
          <w:szCs w:val="24"/>
        </w:rPr>
        <w:t xml:space="preserve">This chart provides information about some of the university programs available for students diagnosed with autism in Tennessee. These programs provide postsecondary education opportunities </w:t>
      </w:r>
      <w:r w:rsidR="00D13531">
        <w:rPr>
          <w:rFonts w:ascii="Atkinson Hyperlegible" w:eastAsia="Times New Roman" w:hAnsi="Atkinson Hyperlegible" w:cs="Times New Roman"/>
          <w:color w:val="000000" w:themeColor="text1"/>
          <w:sz w:val="24"/>
          <w:szCs w:val="24"/>
        </w:rPr>
        <w:t xml:space="preserve">to help students with autism complete college and prepare for a career and independence. </w:t>
      </w:r>
    </w:p>
    <w:tbl>
      <w:tblPr>
        <w:tblStyle w:val="TableGrid"/>
        <w:tblW w:w="14390" w:type="dxa"/>
        <w:jc w:val="center"/>
        <w:tblLayout w:type="fixed"/>
        <w:tblLook w:val="06A0" w:firstRow="1" w:lastRow="0" w:firstColumn="1" w:lastColumn="0" w:noHBand="1" w:noVBand="1"/>
      </w:tblPr>
      <w:tblGrid>
        <w:gridCol w:w="1683"/>
        <w:gridCol w:w="3176"/>
        <w:gridCol w:w="3177"/>
        <w:gridCol w:w="3177"/>
        <w:gridCol w:w="3177"/>
      </w:tblGrid>
      <w:tr w:rsidR="00D01094" w:rsidRPr="00FC646D" w14:paraId="2EB584B6" w14:textId="77777777" w:rsidTr="00D01094">
        <w:trPr>
          <w:jc w:val="center"/>
        </w:trPr>
        <w:tc>
          <w:tcPr>
            <w:tcW w:w="1683" w:type="dxa"/>
          </w:tcPr>
          <w:p w14:paraId="067EF62B" w14:textId="333BD219" w:rsidR="00D01094" w:rsidRPr="00FC646D" w:rsidRDefault="00D01094" w:rsidP="2520663C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</w:tcPr>
          <w:p w14:paraId="65673834" w14:textId="0DC44EEE" w:rsidR="00D01094" w:rsidRPr="00FC646D" w:rsidRDefault="00D01094" w:rsidP="2520663C">
            <w:pPr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  <w:t>Students Tackling Autism-Related Syndromes (STARS)</w:t>
            </w:r>
          </w:p>
        </w:tc>
        <w:tc>
          <w:tcPr>
            <w:tcW w:w="3177" w:type="dxa"/>
          </w:tcPr>
          <w:p w14:paraId="543BE2CB" w14:textId="37B0D439" w:rsidR="00D01094" w:rsidRPr="00FC646D" w:rsidRDefault="00D01094" w:rsidP="2520663C">
            <w:pPr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  <w:t>Full Spectrum Learning (FSL)</w:t>
            </w:r>
          </w:p>
        </w:tc>
        <w:tc>
          <w:tcPr>
            <w:tcW w:w="3177" w:type="dxa"/>
          </w:tcPr>
          <w:p w14:paraId="5D82E3BC" w14:textId="7A6540D7" w:rsidR="00D01094" w:rsidRPr="00FC646D" w:rsidRDefault="00D01094" w:rsidP="2520663C">
            <w:pPr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  <w:t>Postsecondary Autism Support Service (PASS)</w:t>
            </w:r>
          </w:p>
        </w:tc>
        <w:tc>
          <w:tcPr>
            <w:tcW w:w="3177" w:type="dxa"/>
          </w:tcPr>
          <w:p w14:paraId="0116EA09" w14:textId="5350CADA" w:rsidR="00D01094" w:rsidRPr="00FC646D" w:rsidRDefault="00D01094" w:rsidP="2520663C">
            <w:pPr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  <w:t>Mosaic</w:t>
            </w:r>
          </w:p>
        </w:tc>
      </w:tr>
      <w:tr w:rsidR="00D01094" w:rsidRPr="00FC646D" w14:paraId="0E59A4E9" w14:textId="77777777" w:rsidTr="00D01094">
        <w:trPr>
          <w:jc w:val="center"/>
        </w:trPr>
        <w:tc>
          <w:tcPr>
            <w:tcW w:w="1683" w:type="dxa"/>
          </w:tcPr>
          <w:p w14:paraId="05AAE679" w14:textId="77777777" w:rsidR="00D01094" w:rsidRPr="00FC646D" w:rsidRDefault="00D01094" w:rsidP="2520663C">
            <w:pPr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  <w:t>Where is it located?</w:t>
            </w:r>
          </w:p>
          <w:p w14:paraId="4CE97998" w14:textId="0E12E369" w:rsidR="00D01094" w:rsidRPr="00FC646D" w:rsidRDefault="00D01094" w:rsidP="2520663C">
            <w:pPr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</w:tcPr>
          <w:p w14:paraId="38B261DD" w14:textId="5E34F6FF" w:rsidR="00D01094" w:rsidRPr="00FC646D" w:rsidRDefault="00D01094" w:rsidP="00D01094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Christian Brothers University (CBU) in Memphis, TN</w:t>
            </w:r>
          </w:p>
        </w:tc>
        <w:tc>
          <w:tcPr>
            <w:tcW w:w="3177" w:type="dxa"/>
          </w:tcPr>
          <w:p w14:paraId="2CA06636" w14:textId="22D60D29" w:rsidR="00D01094" w:rsidRPr="00FC646D" w:rsidRDefault="00D01094" w:rsidP="2520663C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 xml:space="preserve">Austin </w:t>
            </w:r>
            <w:proofErr w:type="spellStart"/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Peay</w:t>
            </w:r>
            <w:proofErr w:type="spellEnd"/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 xml:space="preserve"> State University (APSU) in Clarksville, TN</w:t>
            </w:r>
          </w:p>
        </w:tc>
        <w:tc>
          <w:tcPr>
            <w:tcW w:w="3177" w:type="dxa"/>
          </w:tcPr>
          <w:p w14:paraId="7ECA64BF" w14:textId="33201952" w:rsidR="00D01094" w:rsidRPr="00FC646D" w:rsidRDefault="00D01094" w:rsidP="2520663C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The University of Tennessee</w:t>
            </w:r>
            <w:r w:rsidR="009773BC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 xml:space="preserve"> (UT)</w:t>
            </w:r>
            <w: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 xml:space="preserve"> Knoxville in Knoxville, TN</w:t>
            </w:r>
          </w:p>
        </w:tc>
        <w:tc>
          <w:tcPr>
            <w:tcW w:w="3177" w:type="dxa"/>
          </w:tcPr>
          <w:p w14:paraId="3E6CC724" w14:textId="01679BA3" w:rsidR="00D01094" w:rsidRPr="00FC646D" w:rsidRDefault="00D01094" w:rsidP="2520663C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The University of Tennessee at Chattanooga (UTC) in Chattanooga, TN</w:t>
            </w:r>
          </w:p>
        </w:tc>
      </w:tr>
      <w:tr w:rsidR="00D01094" w:rsidRPr="00FC646D" w14:paraId="10EDE0E3" w14:textId="77777777" w:rsidTr="00D01094">
        <w:trPr>
          <w:jc w:val="center"/>
        </w:trPr>
        <w:tc>
          <w:tcPr>
            <w:tcW w:w="1683" w:type="dxa"/>
          </w:tcPr>
          <w:p w14:paraId="2D786740" w14:textId="567A7064" w:rsidR="00D01094" w:rsidRPr="00FC646D" w:rsidRDefault="00D01094" w:rsidP="2520663C">
            <w:pPr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CA2DF72"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  <w:t>What is the admissions process?</w:t>
            </w:r>
          </w:p>
        </w:tc>
        <w:tc>
          <w:tcPr>
            <w:tcW w:w="3176" w:type="dxa"/>
          </w:tcPr>
          <w:p w14:paraId="4BC5A068" w14:textId="22C5A13E" w:rsidR="00D01094" w:rsidRPr="00FC646D" w:rsidRDefault="00D01094" w:rsidP="4372F283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7CA2DF72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Students must separately apply to CBU and STARS</w:t>
            </w:r>
          </w:p>
          <w:p w14:paraId="7A1BF7CB" w14:textId="32451986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24DD2D42" w14:textId="09744D7B" w:rsidR="00D01094" w:rsidRPr="00FC646D" w:rsidRDefault="00D01094" w:rsidP="49AA0D0E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7CA2DF72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Students must separately apply to APSU and FSL</w:t>
            </w:r>
          </w:p>
          <w:p w14:paraId="02B22C68" w14:textId="431FE42F" w:rsidR="00D01094" w:rsidRPr="00FC646D" w:rsidRDefault="00D01094" w:rsidP="49AA0D0E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</w:p>
          <w:p w14:paraId="1B6BDA17" w14:textId="2DE9AD70" w:rsidR="00D01094" w:rsidRPr="00FC646D" w:rsidRDefault="00D01094" w:rsidP="2520663C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D229359" w14:textId="2B3594C4" w:rsidR="00D01094" w:rsidRPr="7CA2DF72" w:rsidRDefault="00D01094" w:rsidP="49AA0D0E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 xml:space="preserve">Students must separately apply to </w:t>
            </w:r>
            <w:r w:rsidR="00391B1C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U</w:t>
            </w:r>
            <w:r w:rsidR="009773BC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T</w:t>
            </w:r>
            <w:r w:rsidR="00391B1C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9773BC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 xml:space="preserve">the </w:t>
            </w:r>
            <w:r w:rsidR="00391B1C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PASS program</w:t>
            </w:r>
          </w:p>
        </w:tc>
        <w:tc>
          <w:tcPr>
            <w:tcW w:w="3177" w:type="dxa"/>
          </w:tcPr>
          <w:p w14:paraId="2EFA41ED" w14:textId="3587FDDB" w:rsidR="00D01094" w:rsidRPr="00FC646D" w:rsidRDefault="00D01094" w:rsidP="49AA0D0E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7CA2DF72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Students must separately apply to UTC and the Mosaic program</w:t>
            </w:r>
          </w:p>
          <w:p w14:paraId="73577AE9" w14:textId="73FEFB2F" w:rsidR="00D01094" w:rsidRPr="00FC646D" w:rsidRDefault="00D01094" w:rsidP="2520663C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</w:p>
        </w:tc>
      </w:tr>
      <w:tr w:rsidR="00D01094" w:rsidRPr="00FC646D" w14:paraId="02172979" w14:textId="77777777" w:rsidTr="00D01094">
        <w:trPr>
          <w:jc w:val="center"/>
        </w:trPr>
        <w:tc>
          <w:tcPr>
            <w:tcW w:w="1683" w:type="dxa"/>
          </w:tcPr>
          <w:p w14:paraId="3C2F2DFE" w14:textId="6901F083" w:rsidR="00D01094" w:rsidRPr="00FC646D" w:rsidRDefault="00D01094" w:rsidP="2520663C">
            <w:pPr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  <w:t>What are some of the components of the program?</w:t>
            </w:r>
          </w:p>
        </w:tc>
        <w:tc>
          <w:tcPr>
            <w:tcW w:w="3176" w:type="dxa"/>
          </w:tcPr>
          <w:p w14:paraId="6A4E3E9E" w14:textId="18721CFB" w:rsidR="00D01094" w:rsidRPr="00FC646D" w:rsidRDefault="00D01094" w:rsidP="1B265E31">
            <w:pPr>
              <w:pStyle w:val="ListParagraph"/>
              <w:numPr>
                <w:ilvl w:val="0"/>
                <w:numId w:val="1"/>
              </w:numPr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 xml:space="preserve">TEAM (Teaching Employment and Academic Mastery) program: individualized career support </w:t>
            </w:r>
          </w:p>
          <w:p w14:paraId="590E054B" w14:textId="012A6771" w:rsidR="00D01094" w:rsidRPr="00FC646D" w:rsidRDefault="00D01094" w:rsidP="1B265E31">
            <w:pPr>
              <w:pStyle w:val="ListParagraph"/>
              <w:numPr>
                <w:ilvl w:val="0"/>
                <w:numId w:val="1"/>
              </w:numPr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  <w:proofErr w:type="spellStart"/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InsideOut</w:t>
            </w:r>
            <w:proofErr w:type="spellEnd"/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: promote physical and mental wellbeing</w:t>
            </w:r>
          </w:p>
        </w:tc>
        <w:tc>
          <w:tcPr>
            <w:tcW w:w="3177" w:type="dxa"/>
          </w:tcPr>
          <w:p w14:paraId="0DD1AD15" w14:textId="7E5E27EF" w:rsidR="00D01094" w:rsidRPr="00FC646D" w:rsidRDefault="00D01094" w:rsidP="1B265E31">
            <w:pPr>
              <w:pStyle w:val="ListParagraph"/>
              <w:numPr>
                <w:ilvl w:val="0"/>
                <w:numId w:val="1"/>
              </w:numPr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Weekly accountability meetings</w:t>
            </w:r>
          </w:p>
          <w:p w14:paraId="4DA043E5" w14:textId="17FF025E" w:rsidR="00D01094" w:rsidRPr="00FC646D" w:rsidRDefault="00D01094" w:rsidP="0969CCC2">
            <w:pPr>
              <w:pStyle w:val="ListParagraph"/>
              <w:numPr>
                <w:ilvl w:val="0"/>
                <w:numId w:val="1"/>
              </w:numPr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  <w:r w:rsidRPr="7CA2DF72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Weekly courses covering topics such as academic responsibility, professional development, career readiness, etc.</w:t>
            </w:r>
          </w:p>
          <w:p w14:paraId="3E998135" w14:textId="6DB49023" w:rsidR="00D01094" w:rsidRPr="00FC646D" w:rsidRDefault="00D01094" w:rsidP="4762EF74">
            <w:pPr>
              <w:pStyle w:val="ListParagraph"/>
              <w:numPr>
                <w:ilvl w:val="0"/>
                <w:numId w:val="1"/>
              </w:numPr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3-5 weekly tutoring sessions</w:t>
            </w:r>
          </w:p>
          <w:p w14:paraId="6DDD778C" w14:textId="428A9258" w:rsidR="00D01094" w:rsidRPr="00FC646D" w:rsidRDefault="00D01094" w:rsidP="4762EF74">
            <w:pPr>
              <w:pStyle w:val="ListParagraph"/>
              <w:numPr>
                <w:ilvl w:val="0"/>
                <w:numId w:val="1"/>
              </w:numPr>
              <w:rPr>
                <w:rFonts w:ascii="Atkinson Hyperlegible" w:hAnsi="Atkinson Hyperlegible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Weekly peer mentor meetings</w:t>
            </w:r>
          </w:p>
          <w:p w14:paraId="65A7935F" w14:textId="1D5F58C6" w:rsidR="00D01094" w:rsidRPr="00FC646D" w:rsidRDefault="00D01094" w:rsidP="4762EF74">
            <w:pPr>
              <w:pStyle w:val="ListParagraph"/>
              <w:ind w:left="360"/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49593024" w14:textId="3249F379" w:rsidR="002253D5" w:rsidRPr="002253D5" w:rsidRDefault="00AC7143" w:rsidP="00391B1C">
            <w:pPr>
              <w:pStyle w:val="ListParagraph"/>
              <w:numPr>
                <w:ilvl w:val="0"/>
                <w:numId w:val="6"/>
              </w:numPr>
              <w:rPr>
                <w:rFonts w:ascii="Atkinson Hyperlegible" w:hAnsi="Atkinson Hyperlegible"/>
                <w:sz w:val="24"/>
                <w:szCs w:val="24"/>
              </w:rPr>
            </w:pPr>
            <w:r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>T</w:t>
            </w:r>
            <w:r w:rsidR="00391B1C"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 xml:space="preserve">wo-hour weekly course </w:t>
            </w:r>
            <w:r w:rsidR="002253D5"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>covering topics</w:t>
            </w:r>
            <w:r w:rsidR="00391B1C"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 xml:space="preserve"> to develop and practice necessary academic and life skills </w:t>
            </w:r>
          </w:p>
          <w:p w14:paraId="142D7921" w14:textId="77777777" w:rsidR="002253D5" w:rsidRPr="002253D5" w:rsidRDefault="002253D5" w:rsidP="00391B1C">
            <w:pPr>
              <w:pStyle w:val="ListParagraph"/>
              <w:numPr>
                <w:ilvl w:val="0"/>
                <w:numId w:val="6"/>
              </w:numPr>
              <w:rPr>
                <w:rFonts w:ascii="Atkinson Hyperlegible" w:hAnsi="Atkinson Hyperlegible"/>
                <w:sz w:val="24"/>
                <w:szCs w:val="24"/>
              </w:rPr>
            </w:pPr>
            <w:r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>O</w:t>
            </w:r>
            <w:r w:rsidR="00391B1C"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>ne-hour weekly of individualized, hands-on support</w:t>
            </w:r>
          </w:p>
          <w:p w14:paraId="0CCE9168" w14:textId="77777777" w:rsidR="002253D5" w:rsidRPr="002253D5" w:rsidRDefault="002253D5" w:rsidP="00391B1C">
            <w:pPr>
              <w:pStyle w:val="ListParagraph"/>
              <w:numPr>
                <w:ilvl w:val="0"/>
                <w:numId w:val="6"/>
              </w:numPr>
              <w:rPr>
                <w:rFonts w:ascii="Atkinson Hyperlegible" w:hAnsi="Atkinson Hyperlegible"/>
                <w:sz w:val="24"/>
                <w:szCs w:val="24"/>
              </w:rPr>
            </w:pPr>
            <w:r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>P</w:t>
            </w:r>
            <w:r w:rsidR="00391B1C"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>eer mentoring</w:t>
            </w:r>
          </w:p>
          <w:p w14:paraId="0BCA947E" w14:textId="67D464FB" w:rsidR="00D01094" w:rsidRPr="002253D5" w:rsidRDefault="002253D5" w:rsidP="002253D5">
            <w:pPr>
              <w:pStyle w:val="ListParagraph"/>
              <w:numPr>
                <w:ilvl w:val="0"/>
                <w:numId w:val="6"/>
              </w:numPr>
              <w:rPr>
                <w:rFonts w:ascii="Atkinson Hyperlegible" w:hAnsi="Atkinson Hyperlegible"/>
                <w:sz w:val="24"/>
                <w:szCs w:val="24"/>
              </w:rPr>
            </w:pPr>
            <w:r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>C</w:t>
            </w:r>
            <w:r w:rsidR="00391B1C" w:rsidRPr="002253D5">
              <w:rPr>
                <w:rFonts w:ascii="Atkinson Hyperlegible" w:hAnsi="Atkinson Hyperlegible"/>
                <w:sz w:val="24"/>
                <w:szCs w:val="24"/>
                <w:shd w:val="clear" w:color="auto" w:fill="FFFFFF"/>
              </w:rPr>
              <w:t xml:space="preserve">ollaboration with faculty/staff/parents </w:t>
            </w:r>
          </w:p>
        </w:tc>
        <w:tc>
          <w:tcPr>
            <w:tcW w:w="3177" w:type="dxa"/>
          </w:tcPr>
          <w:p w14:paraId="34C48B1E" w14:textId="727BA089" w:rsidR="00D01094" w:rsidRPr="00FC646D" w:rsidRDefault="00D01094" w:rsidP="1B265E31">
            <w:pPr>
              <w:pStyle w:val="ListParagraph"/>
              <w:numPr>
                <w:ilvl w:val="0"/>
                <w:numId w:val="1"/>
              </w:numPr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Peer/professional mentoring</w:t>
            </w:r>
          </w:p>
          <w:p w14:paraId="41223298" w14:textId="539854FF" w:rsidR="00D01094" w:rsidRPr="00FC646D" w:rsidRDefault="00D01094" w:rsidP="1B265E31">
            <w:pPr>
              <w:pStyle w:val="ListParagraph"/>
              <w:numPr>
                <w:ilvl w:val="0"/>
                <w:numId w:val="1"/>
              </w:numPr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Supervised study hours</w:t>
            </w:r>
          </w:p>
          <w:p w14:paraId="6EC35383" w14:textId="100EE092" w:rsidR="00D01094" w:rsidRPr="00FC646D" w:rsidRDefault="00D01094" w:rsidP="1B265E31">
            <w:pPr>
              <w:pStyle w:val="ListParagraph"/>
              <w:numPr>
                <w:ilvl w:val="0"/>
                <w:numId w:val="1"/>
              </w:numPr>
              <w:rPr>
                <w:rFonts w:ascii="Atkinson Hyperlegible" w:eastAsiaTheme="minorEastAsia" w:hAnsi="Atkinson Hyperlegible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  <w:t>Curriculum including independence, developing workplace skills, etc.</w:t>
            </w:r>
          </w:p>
        </w:tc>
      </w:tr>
      <w:tr w:rsidR="00D01094" w:rsidRPr="00FC646D" w14:paraId="7429F5D2" w14:textId="77777777" w:rsidTr="00D01094">
        <w:trPr>
          <w:trHeight w:val="2625"/>
          <w:jc w:val="center"/>
        </w:trPr>
        <w:tc>
          <w:tcPr>
            <w:tcW w:w="1683" w:type="dxa"/>
          </w:tcPr>
          <w:p w14:paraId="1B858A80" w14:textId="426AAD25" w:rsidR="00D01094" w:rsidRPr="00FC646D" w:rsidRDefault="00D01094" w:rsidP="1B265E31">
            <w:pPr>
              <w:spacing w:line="259" w:lineRule="auto"/>
              <w:jc w:val="center"/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CA2DF72">
              <w:rPr>
                <w:rFonts w:ascii="Atkinson Hyperlegible" w:eastAsia="Times New Roman" w:hAnsi="Atkinson Hyperlegible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Website and contact information</w:t>
            </w:r>
          </w:p>
        </w:tc>
        <w:tc>
          <w:tcPr>
            <w:tcW w:w="3176" w:type="dxa"/>
          </w:tcPr>
          <w:p w14:paraId="2DC5470A" w14:textId="33C85EED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>Phone: 901-834-6125</w:t>
            </w:r>
          </w:p>
          <w:p w14:paraId="035241D2" w14:textId="407D3D47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  <w:p w14:paraId="33E6AEB8" w14:textId="662EAB90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Email: </w:t>
            </w:r>
            <w:hyperlink r:id="rId8">
              <w:r w:rsidRPr="00FC646D">
                <w:rPr>
                  <w:rStyle w:val="Hyperlink"/>
                  <w:rFonts w:ascii="Atkinson Hyperlegible" w:eastAsia="Times New Roman" w:hAnsi="Atkinson Hyperlegible" w:cs="Times New Roman"/>
                  <w:sz w:val="24"/>
                  <w:szCs w:val="24"/>
                </w:rPr>
                <w:t>info@collegestars.org</w:t>
              </w:r>
            </w:hyperlink>
          </w:p>
          <w:p w14:paraId="351309C2" w14:textId="30A3C24B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  <w:p w14:paraId="0FF5E47F" w14:textId="543F5642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Website: </w:t>
            </w:r>
            <w:hyperlink r:id="rId9">
              <w:r w:rsidRPr="00FC646D">
                <w:rPr>
                  <w:rStyle w:val="Hyperlink"/>
                  <w:rFonts w:ascii="Atkinson Hyperlegible" w:eastAsia="Times New Roman" w:hAnsi="Atkinson Hyperlegible" w:cs="Times New Roman"/>
                  <w:sz w:val="24"/>
                  <w:szCs w:val="24"/>
                </w:rPr>
                <w:t>https://www.collegestars.org/</w:t>
              </w:r>
            </w:hyperlink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 </w:t>
            </w:r>
          </w:p>
          <w:p w14:paraId="6461B7B2" w14:textId="4719F095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3B30EDD" w14:textId="2F4E90FB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>Phone: 931-221-7011</w:t>
            </w:r>
          </w:p>
          <w:p w14:paraId="01DE58A8" w14:textId="1DA6872A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  <w:p w14:paraId="3604A1BB" w14:textId="49B0F218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Email: </w:t>
            </w:r>
            <w:hyperlink r:id="rId10">
              <w:r w:rsidRPr="00FC646D">
                <w:rPr>
                  <w:rStyle w:val="Hyperlink"/>
                  <w:rFonts w:ascii="Atkinson Hyperlegible" w:eastAsia="Times New Roman" w:hAnsi="Atkinson Hyperlegible" w:cs="Times New Roman"/>
                  <w:sz w:val="24"/>
                  <w:szCs w:val="24"/>
                </w:rPr>
                <w:t>gov@apsu.edu</w:t>
              </w:r>
            </w:hyperlink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 </w:t>
            </w:r>
          </w:p>
          <w:p w14:paraId="2A147912" w14:textId="7720F3F8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  <w:p w14:paraId="359348FF" w14:textId="77777777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>Website:</w:t>
            </w:r>
          </w:p>
          <w:p w14:paraId="40A93476" w14:textId="65422506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 </w:t>
            </w:r>
            <w:hyperlink r:id="rId11">
              <w:r w:rsidRPr="00FC646D">
                <w:rPr>
                  <w:rStyle w:val="Hyperlink"/>
                  <w:rFonts w:ascii="Atkinson Hyperlegible" w:eastAsia="Times New Roman" w:hAnsi="Atkinson Hyperlegible" w:cs="Times New Roman"/>
                  <w:sz w:val="24"/>
                  <w:szCs w:val="24"/>
                </w:rPr>
                <w:t>https://www.apsu.edu/full-spectrum-learning/</w:t>
              </w:r>
            </w:hyperlink>
          </w:p>
          <w:p w14:paraId="5246A5DC" w14:textId="488EA4EB" w:rsidR="00D01094" w:rsidRPr="00FC646D" w:rsidRDefault="00D01094" w:rsidP="1D5675BF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2074A9D3" w14:textId="1D2FE1FD" w:rsidR="00D01094" w:rsidRDefault="002253D5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>Phone: 865-974-6177</w:t>
            </w:r>
          </w:p>
          <w:p w14:paraId="463BAA8B" w14:textId="77777777" w:rsidR="002253D5" w:rsidRDefault="002253D5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  <w:p w14:paraId="3F8C2970" w14:textId="0E246803" w:rsidR="002253D5" w:rsidRDefault="002253D5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Email: </w:t>
            </w:r>
            <w:hyperlink r:id="rId12" w:history="1">
              <w:r w:rsidR="009773BC" w:rsidRPr="00AC7A44">
                <w:rPr>
                  <w:rStyle w:val="Hyperlink"/>
                  <w:rFonts w:ascii="Atkinson Hyperlegible" w:eastAsia="Times New Roman" w:hAnsi="Atkinson Hyperlegible" w:cs="Times New Roman"/>
                  <w:sz w:val="24"/>
                  <w:szCs w:val="24"/>
                </w:rPr>
                <w:t>cblondin@utk.edu</w:t>
              </w:r>
            </w:hyperlink>
            <w:r w:rsidR="009773BC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 </w:t>
            </w:r>
          </w:p>
          <w:p w14:paraId="4F706CAA" w14:textId="77777777" w:rsidR="002253D5" w:rsidRDefault="002253D5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  <w:p w14:paraId="663B98AD" w14:textId="0E4D86FB" w:rsidR="002253D5" w:rsidRPr="00FC646D" w:rsidRDefault="002253D5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Website: </w:t>
            </w:r>
            <w:hyperlink r:id="rId13" w:history="1">
              <w:r w:rsidRPr="00AC7A44">
                <w:rPr>
                  <w:rStyle w:val="Hyperlink"/>
                  <w:rFonts w:ascii="Atkinson Hyperlegible" w:eastAsia="Times New Roman" w:hAnsi="Atkinson Hyperlegible" w:cs="Times New Roman"/>
                  <w:sz w:val="24"/>
                  <w:szCs w:val="24"/>
                </w:rPr>
                <w:t>https://klass.utk.edu/pass-comprehensive-program/</w:t>
              </w:r>
            </w:hyperlink>
            <w:r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</w:tcPr>
          <w:p w14:paraId="7637F5FF" w14:textId="75AF6ED3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>Phone: 423-425-2288</w:t>
            </w:r>
          </w:p>
          <w:p w14:paraId="7AEE599E" w14:textId="26F0149E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  <w:p w14:paraId="68DDC8C8" w14:textId="3B78C009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Email: </w:t>
            </w:r>
            <w:hyperlink r:id="rId14">
              <w:r w:rsidRPr="00FC646D">
                <w:rPr>
                  <w:rStyle w:val="Hyperlink"/>
                  <w:rFonts w:ascii="Atkinson Hyperlegible" w:eastAsia="Times New Roman" w:hAnsi="Atkinson Hyperlegible" w:cs="Times New Roman"/>
                  <w:sz w:val="24"/>
                  <w:szCs w:val="24"/>
                </w:rPr>
                <w:t>drc@utc.edu</w:t>
              </w:r>
            </w:hyperlink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 </w:t>
            </w:r>
          </w:p>
          <w:p w14:paraId="6631F72F" w14:textId="76DF1760" w:rsidR="00D01094" w:rsidRPr="00FC646D" w:rsidRDefault="00D01094" w:rsidP="1B265E31">
            <w:pPr>
              <w:rPr>
                <w:rFonts w:ascii="Atkinson Hyperlegible" w:eastAsia="Times New Roman" w:hAnsi="Atkinson Hyperlegible" w:cs="Times New Roman"/>
                <w:sz w:val="24"/>
                <w:szCs w:val="24"/>
              </w:rPr>
            </w:pPr>
          </w:p>
          <w:p w14:paraId="11F40A6E" w14:textId="75DADDB9" w:rsidR="00D01094" w:rsidRPr="00FC646D" w:rsidRDefault="00D01094" w:rsidP="1D5675BF">
            <w:pPr>
              <w:rPr>
                <w:rFonts w:ascii="Atkinson Hyperlegible" w:eastAsia="Times New Roman" w:hAnsi="Atkinson Hyperlegible" w:cs="Times New Roman"/>
                <w:color w:val="000000" w:themeColor="text1"/>
                <w:sz w:val="24"/>
                <w:szCs w:val="24"/>
              </w:rPr>
            </w:pPr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Website: </w:t>
            </w:r>
            <w:hyperlink r:id="rId15">
              <w:r w:rsidRPr="00FC646D">
                <w:rPr>
                  <w:rStyle w:val="Hyperlink"/>
                  <w:rFonts w:ascii="Atkinson Hyperlegible" w:eastAsia="Times New Roman" w:hAnsi="Atkinson Hyperlegible" w:cs="Times New Roman"/>
                  <w:sz w:val="24"/>
                  <w:szCs w:val="24"/>
                </w:rPr>
                <w:t>https://www.utc.edu/enrollment-management-and-student-affairs/disability-resource-center/mosaic</w:t>
              </w:r>
            </w:hyperlink>
            <w:r w:rsidRPr="00FC646D">
              <w:rPr>
                <w:rFonts w:ascii="Atkinson Hyperlegible" w:eastAsia="Times New Roman" w:hAnsi="Atkinson Hyperlegible" w:cs="Times New Roman"/>
                <w:sz w:val="24"/>
                <w:szCs w:val="24"/>
              </w:rPr>
              <w:t xml:space="preserve"> </w:t>
            </w:r>
          </w:p>
        </w:tc>
      </w:tr>
    </w:tbl>
    <w:p w14:paraId="0B8EF791" w14:textId="6A019E81" w:rsidR="520B67C6" w:rsidRPr="00FC646D" w:rsidRDefault="520B67C6" w:rsidP="2520663C">
      <w:pPr>
        <w:jc w:val="center"/>
        <w:rPr>
          <w:rFonts w:ascii="Atkinson Hyperlegible" w:eastAsia="Times New Roman" w:hAnsi="Atkinson Hyperlegible" w:cs="Times New Roman"/>
          <w:color w:val="000000" w:themeColor="text1"/>
          <w:sz w:val="24"/>
          <w:szCs w:val="24"/>
        </w:rPr>
      </w:pPr>
    </w:p>
    <w:sectPr w:rsidR="520B67C6" w:rsidRPr="00FC64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2CE"/>
    <w:multiLevelType w:val="hybridMultilevel"/>
    <w:tmpl w:val="B1C8EBC0"/>
    <w:lvl w:ilvl="0" w:tplc="DC58B6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F4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CF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E0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4A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67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48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8C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66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329"/>
    <w:multiLevelType w:val="hybridMultilevel"/>
    <w:tmpl w:val="8A820406"/>
    <w:lvl w:ilvl="0" w:tplc="B42C9F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C64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E7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6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87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2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0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7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8C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2246"/>
    <w:multiLevelType w:val="hybridMultilevel"/>
    <w:tmpl w:val="0ADAB14E"/>
    <w:lvl w:ilvl="0" w:tplc="6D04A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40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86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B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08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A7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0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69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EC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3BE2"/>
    <w:multiLevelType w:val="hybridMultilevel"/>
    <w:tmpl w:val="231A1424"/>
    <w:lvl w:ilvl="0" w:tplc="254AE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E489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F037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EA80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FAD1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34F0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00DB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4E48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7C51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915903"/>
    <w:multiLevelType w:val="hybridMultilevel"/>
    <w:tmpl w:val="2DF46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9302F"/>
    <w:multiLevelType w:val="hybridMultilevel"/>
    <w:tmpl w:val="7B948244"/>
    <w:lvl w:ilvl="0" w:tplc="CEDC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4F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AD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63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CF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E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0E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E4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A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0F1B14"/>
    <w:rsid w:val="001D05B6"/>
    <w:rsid w:val="002253D5"/>
    <w:rsid w:val="00391B1C"/>
    <w:rsid w:val="00577B36"/>
    <w:rsid w:val="005938AC"/>
    <w:rsid w:val="00934E70"/>
    <w:rsid w:val="00966537"/>
    <w:rsid w:val="009773BC"/>
    <w:rsid w:val="009A79CC"/>
    <w:rsid w:val="00A53315"/>
    <w:rsid w:val="00A81FC1"/>
    <w:rsid w:val="00AC7143"/>
    <w:rsid w:val="00B94D0E"/>
    <w:rsid w:val="00C748FA"/>
    <w:rsid w:val="00D01094"/>
    <w:rsid w:val="00D13531"/>
    <w:rsid w:val="00D6516D"/>
    <w:rsid w:val="00D94ED6"/>
    <w:rsid w:val="00FC646D"/>
    <w:rsid w:val="0969CCC2"/>
    <w:rsid w:val="131433AC"/>
    <w:rsid w:val="1A455572"/>
    <w:rsid w:val="1B265E31"/>
    <w:rsid w:val="1D5675BF"/>
    <w:rsid w:val="220F1B14"/>
    <w:rsid w:val="2520663C"/>
    <w:rsid w:val="2877E6FE"/>
    <w:rsid w:val="32FD7872"/>
    <w:rsid w:val="3CE77C5B"/>
    <w:rsid w:val="4372F283"/>
    <w:rsid w:val="4383514E"/>
    <w:rsid w:val="4762EF74"/>
    <w:rsid w:val="48B271A5"/>
    <w:rsid w:val="49AA0D0E"/>
    <w:rsid w:val="520B67C6"/>
    <w:rsid w:val="5853894E"/>
    <w:rsid w:val="6F34D385"/>
    <w:rsid w:val="7CA2D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1B14"/>
  <w15:chartTrackingRefBased/>
  <w15:docId w15:val="{A3A2CA46-671E-44E3-ACCB-81504012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F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9A79C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9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legestars.org" TargetMode="External"/><Relationship Id="rId13" Type="http://schemas.openxmlformats.org/officeDocument/2006/relationships/hyperlink" Target="https://klass.utk.edu/pass-comprehensive-progra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blondin@utk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su.edu/full-spectrum-learn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tc.edu/enrollment-management-and-student-affairs/disability-resource-center/mosaic" TargetMode="External"/><Relationship Id="rId10" Type="http://schemas.openxmlformats.org/officeDocument/2006/relationships/hyperlink" Target="mailto:gov@aps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llegestars.org/" TargetMode="External"/><Relationship Id="rId14" Type="http://schemas.openxmlformats.org/officeDocument/2006/relationships/hyperlink" Target="mailto:drc@u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98BDDA-0785-4348-A460-E8917294D4B0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2" ma:contentTypeDescription="Create a new document." ma:contentTypeScope="" ma:versionID="dc23ec24629b5a14bc3bec36575c174c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87d64e8d9b582a7af439c0573bc8c2b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71076-6B56-4772-B0FF-F38709D9E412}"/>
</file>

<file path=customXml/itemProps2.xml><?xml version="1.0" encoding="utf-8"?>
<ds:datastoreItem xmlns:ds="http://schemas.openxmlformats.org/officeDocument/2006/customXml" ds:itemID="{AE1CCA5E-78B9-4C16-B6F1-B8E75DF4C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DEEC7-5D03-4C78-BEA3-554AAD826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Baker</dc:creator>
  <cp:keywords/>
  <dc:description/>
  <cp:lastModifiedBy>Armstrong, Hope E</cp:lastModifiedBy>
  <cp:revision>3</cp:revision>
  <dcterms:created xsi:type="dcterms:W3CDTF">2022-03-31T13:55:00Z</dcterms:created>
  <dcterms:modified xsi:type="dcterms:W3CDTF">2022-04-05T13:28:00Z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documentId_7737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